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260"/>
        <w:gridCol w:w="1710"/>
        <w:gridCol w:w="6030"/>
      </w:tblGrid>
      <w:tr w:rsidR="00E52503" w:rsidTr="00146400">
        <w:tc>
          <w:tcPr>
            <w:tcW w:w="1260" w:type="dxa"/>
            <w:vMerge w:val="restart"/>
            <w:vAlign w:val="center"/>
          </w:tcPr>
          <w:p w:rsidR="00E52503" w:rsidRDefault="00E52503" w:rsidP="00146400">
            <w:pPr>
              <w:jc w:val="center"/>
            </w:pPr>
            <w:bookmarkStart w:id="0" w:name="_GoBack"/>
            <w:bookmarkEnd w:id="0"/>
          </w:p>
        </w:tc>
        <w:tc>
          <w:tcPr>
            <w:tcW w:w="1710" w:type="dxa"/>
            <w:vAlign w:val="center"/>
          </w:tcPr>
          <w:p w:rsidR="00E52503" w:rsidRPr="00F039A0" w:rsidRDefault="00E52503" w:rsidP="00146400">
            <w:pPr>
              <w:jc w:val="right"/>
              <w:rPr>
                <w:b/>
                <w:sz w:val="20"/>
                <w:szCs w:val="20"/>
              </w:rPr>
            </w:pPr>
            <w:r w:rsidRPr="00F039A0">
              <w:rPr>
                <w:b/>
                <w:sz w:val="20"/>
                <w:szCs w:val="20"/>
              </w:rPr>
              <w:t>Course</w:t>
            </w:r>
          </w:p>
        </w:tc>
        <w:tc>
          <w:tcPr>
            <w:tcW w:w="6030" w:type="dxa"/>
            <w:vAlign w:val="center"/>
          </w:tcPr>
          <w:p w:rsidR="00E52503" w:rsidRPr="002D3B88" w:rsidRDefault="00E52503" w:rsidP="00146400">
            <w:pPr>
              <w:rPr>
                <w:b/>
                <w:color w:val="FFD966" w:themeColor="accent4" w:themeTint="99"/>
              </w:rPr>
            </w:pPr>
            <w:r w:rsidRPr="00E52503">
              <w:rPr>
                <w:b/>
              </w:rPr>
              <w:t>HEALTH COURSE SYLLABUS (9</w:t>
            </w:r>
            <w:r w:rsidRPr="00E52503">
              <w:rPr>
                <w:b/>
                <w:vertAlign w:val="superscript"/>
              </w:rPr>
              <w:t>TH</w:t>
            </w:r>
            <w:r w:rsidRPr="00E52503">
              <w:rPr>
                <w:b/>
              </w:rPr>
              <w:t xml:space="preserve"> Grade Health)</w:t>
            </w:r>
          </w:p>
        </w:tc>
      </w:tr>
      <w:tr w:rsidR="00E52503" w:rsidTr="00146400">
        <w:tc>
          <w:tcPr>
            <w:tcW w:w="1260" w:type="dxa"/>
            <w:vMerge/>
          </w:tcPr>
          <w:p w:rsidR="00E52503" w:rsidRDefault="00E52503" w:rsidP="00146400"/>
        </w:tc>
        <w:tc>
          <w:tcPr>
            <w:tcW w:w="1710" w:type="dxa"/>
            <w:vAlign w:val="center"/>
          </w:tcPr>
          <w:p w:rsidR="00E52503" w:rsidRPr="00F039A0" w:rsidRDefault="00E52503" w:rsidP="00146400">
            <w:pPr>
              <w:jc w:val="right"/>
              <w:rPr>
                <w:b/>
                <w:sz w:val="20"/>
                <w:szCs w:val="20"/>
              </w:rPr>
            </w:pPr>
            <w:r w:rsidRPr="00F039A0">
              <w:rPr>
                <w:b/>
                <w:sz w:val="20"/>
                <w:szCs w:val="20"/>
              </w:rPr>
              <w:t>Instructor</w:t>
            </w:r>
          </w:p>
        </w:tc>
        <w:tc>
          <w:tcPr>
            <w:tcW w:w="6030" w:type="dxa"/>
            <w:vAlign w:val="center"/>
          </w:tcPr>
          <w:p w:rsidR="00E52503" w:rsidRDefault="00E52503" w:rsidP="00146400">
            <w:r>
              <w:t>Maureen “Coach Mo” Ryan, EdS</w:t>
            </w:r>
          </w:p>
        </w:tc>
      </w:tr>
      <w:tr w:rsidR="00E52503" w:rsidTr="00146400">
        <w:tc>
          <w:tcPr>
            <w:tcW w:w="1260" w:type="dxa"/>
            <w:vMerge/>
          </w:tcPr>
          <w:p w:rsidR="00E52503" w:rsidRDefault="00E52503" w:rsidP="00146400"/>
        </w:tc>
        <w:tc>
          <w:tcPr>
            <w:tcW w:w="1710" w:type="dxa"/>
            <w:vAlign w:val="center"/>
          </w:tcPr>
          <w:p w:rsidR="00E52503" w:rsidRPr="00F039A0" w:rsidRDefault="00E52503" w:rsidP="00146400">
            <w:pPr>
              <w:jc w:val="right"/>
              <w:rPr>
                <w:b/>
                <w:sz w:val="20"/>
                <w:szCs w:val="20"/>
              </w:rPr>
            </w:pPr>
            <w:r>
              <w:rPr>
                <w:b/>
                <w:sz w:val="20"/>
                <w:szCs w:val="20"/>
              </w:rPr>
              <w:t>School Year</w:t>
            </w:r>
          </w:p>
        </w:tc>
        <w:tc>
          <w:tcPr>
            <w:tcW w:w="6030" w:type="dxa"/>
            <w:vAlign w:val="center"/>
          </w:tcPr>
          <w:p w:rsidR="00E52503" w:rsidRDefault="004B0E5D" w:rsidP="00146400">
            <w:r>
              <w:t>August 2017- May 2018</w:t>
            </w:r>
          </w:p>
        </w:tc>
      </w:tr>
      <w:tr w:rsidR="00E52503" w:rsidTr="00146400">
        <w:tc>
          <w:tcPr>
            <w:tcW w:w="1260" w:type="dxa"/>
            <w:vMerge/>
          </w:tcPr>
          <w:p w:rsidR="00E52503" w:rsidRDefault="00E52503" w:rsidP="00146400"/>
        </w:tc>
        <w:tc>
          <w:tcPr>
            <w:tcW w:w="1710" w:type="dxa"/>
            <w:vAlign w:val="center"/>
          </w:tcPr>
          <w:p w:rsidR="00E52503" w:rsidRPr="00F039A0" w:rsidRDefault="00E52503" w:rsidP="00146400">
            <w:pPr>
              <w:jc w:val="right"/>
              <w:rPr>
                <w:b/>
                <w:sz w:val="20"/>
                <w:szCs w:val="20"/>
              </w:rPr>
            </w:pPr>
          </w:p>
        </w:tc>
        <w:tc>
          <w:tcPr>
            <w:tcW w:w="6030" w:type="dxa"/>
            <w:vAlign w:val="center"/>
          </w:tcPr>
          <w:p w:rsidR="00E52503" w:rsidRDefault="00E52503" w:rsidP="00146400"/>
        </w:tc>
      </w:tr>
    </w:tbl>
    <w:p w:rsidR="00E52503" w:rsidRDefault="00E52503" w:rsidP="00E52503"/>
    <w:p w:rsidR="00E52503" w:rsidRPr="005E4A7D" w:rsidRDefault="00E52503" w:rsidP="00E52503">
      <w:pPr>
        <w:rPr>
          <w:b/>
          <w:color w:val="003300"/>
          <w:sz w:val="24"/>
          <w:szCs w:val="24"/>
        </w:rPr>
      </w:pPr>
      <w:r w:rsidRPr="005E4A7D">
        <w:rPr>
          <w:b/>
          <w:color w:val="003300"/>
          <w:sz w:val="24"/>
          <w:szCs w:val="24"/>
        </w:rPr>
        <w:t>Contact Information</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36"/>
        <w:gridCol w:w="7114"/>
      </w:tblGrid>
      <w:tr w:rsidR="00E52503" w:rsidRPr="00F039A0" w:rsidTr="004366F0">
        <w:trPr>
          <w:trHeight w:val="229"/>
        </w:trPr>
        <w:tc>
          <w:tcPr>
            <w:tcW w:w="2300" w:type="dxa"/>
            <w:vAlign w:val="center"/>
          </w:tcPr>
          <w:p w:rsidR="00E52503" w:rsidRPr="00F039A0" w:rsidRDefault="00E52503" w:rsidP="00146400">
            <w:pPr>
              <w:jc w:val="right"/>
              <w:rPr>
                <w:b/>
                <w:sz w:val="20"/>
                <w:szCs w:val="20"/>
              </w:rPr>
            </w:pPr>
            <w:r w:rsidRPr="00F039A0">
              <w:rPr>
                <w:b/>
                <w:sz w:val="20"/>
                <w:szCs w:val="20"/>
              </w:rPr>
              <w:t>Office Phone</w:t>
            </w:r>
          </w:p>
        </w:tc>
        <w:tc>
          <w:tcPr>
            <w:tcW w:w="7050" w:type="dxa"/>
            <w:vAlign w:val="center"/>
          </w:tcPr>
          <w:p w:rsidR="00E52503" w:rsidRPr="004B5F7A" w:rsidRDefault="00E52503" w:rsidP="00146400">
            <w:r>
              <w:t>(706) 468-2227</w:t>
            </w:r>
          </w:p>
        </w:tc>
      </w:tr>
      <w:tr w:rsidR="00E52503" w:rsidRPr="00F039A0" w:rsidTr="00146400">
        <w:trPr>
          <w:trHeight w:val="481"/>
        </w:trPr>
        <w:tc>
          <w:tcPr>
            <w:tcW w:w="2473" w:type="dxa"/>
            <w:vAlign w:val="center"/>
          </w:tcPr>
          <w:p w:rsidR="00E52503" w:rsidRPr="00F039A0" w:rsidRDefault="00E52503" w:rsidP="00146400">
            <w:pPr>
              <w:jc w:val="right"/>
              <w:rPr>
                <w:b/>
                <w:sz w:val="20"/>
                <w:szCs w:val="20"/>
              </w:rPr>
            </w:pPr>
            <w:r w:rsidRPr="00F039A0">
              <w:rPr>
                <w:b/>
                <w:sz w:val="20"/>
                <w:szCs w:val="20"/>
              </w:rPr>
              <w:t>Emergency Contact</w:t>
            </w:r>
          </w:p>
        </w:tc>
        <w:tc>
          <w:tcPr>
            <w:tcW w:w="8016" w:type="dxa"/>
            <w:vAlign w:val="center"/>
          </w:tcPr>
          <w:p w:rsidR="00E52503" w:rsidRPr="004B5F7A" w:rsidRDefault="00E52503" w:rsidP="00146400">
            <w:bookmarkStart w:id="1" w:name="Text6"/>
            <w:r w:rsidRPr="004B5F7A">
              <w:t xml:space="preserve">In the event of an emergency, </w:t>
            </w:r>
            <w:r>
              <w:t xml:space="preserve">please respond by email or </w:t>
            </w:r>
            <w:r w:rsidRPr="004B5F7A">
              <w:t xml:space="preserve">contact </w:t>
            </w:r>
            <w:bookmarkEnd w:id="1"/>
            <w:r>
              <w:t>JCMS office.</w:t>
            </w:r>
          </w:p>
        </w:tc>
      </w:tr>
      <w:tr w:rsidR="00E52503" w:rsidRPr="00F039A0" w:rsidTr="00146400">
        <w:trPr>
          <w:trHeight w:val="481"/>
        </w:trPr>
        <w:tc>
          <w:tcPr>
            <w:tcW w:w="2473" w:type="dxa"/>
            <w:vAlign w:val="center"/>
          </w:tcPr>
          <w:p w:rsidR="00E52503" w:rsidRPr="00F039A0" w:rsidRDefault="00E52503" w:rsidP="00146400">
            <w:pPr>
              <w:jc w:val="right"/>
              <w:rPr>
                <w:b/>
                <w:sz w:val="20"/>
                <w:szCs w:val="20"/>
              </w:rPr>
            </w:pPr>
            <w:r>
              <w:rPr>
                <w:b/>
                <w:sz w:val="20"/>
                <w:szCs w:val="20"/>
              </w:rPr>
              <w:t xml:space="preserve">JCMS </w:t>
            </w:r>
            <w:r w:rsidRPr="00F039A0">
              <w:rPr>
                <w:b/>
                <w:sz w:val="20"/>
                <w:szCs w:val="20"/>
              </w:rPr>
              <w:t>Office Location</w:t>
            </w:r>
          </w:p>
        </w:tc>
        <w:tc>
          <w:tcPr>
            <w:tcW w:w="8016" w:type="dxa"/>
            <w:vAlign w:val="center"/>
          </w:tcPr>
          <w:p w:rsidR="00E52503" w:rsidRPr="004B5F7A" w:rsidRDefault="00E52503" w:rsidP="00146400">
            <w:r>
              <w:t>1289 College Street</w:t>
            </w:r>
            <w:r>
              <w:br w:type="textWrapping" w:clear="all"/>
              <w:t>Monticello, GA  31064</w:t>
            </w:r>
          </w:p>
        </w:tc>
      </w:tr>
      <w:tr w:rsidR="004366F0" w:rsidRPr="00F039A0" w:rsidTr="00146400">
        <w:trPr>
          <w:trHeight w:val="481"/>
        </w:trPr>
        <w:tc>
          <w:tcPr>
            <w:tcW w:w="2473" w:type="dxa"/>
            <w:vAlign w:val="center"/>
          </w:tcPr>
          <w:p w:rsidR="004366F0" w:rsidRPr="00F039A0" w:rsidRDefault="004366F0" w:rsidP="004366F0">
            <w:pPr>
              <w:jc w:val="right"/>
              <w:rPr>
                <w:b/>
                <w:sz w:val="20"/>
                <w:szCs w:val="20"/>
              </w:rPr>
            </w:pPr>
            <w:r w:rsidRPr="00F039A0">
              <w:rPr>
                <w:b/>
                <w:sz w:val="20"/>
                <w:szCs w:val="20"/>
              </w:rPr>
              <w:t>Email Address</w:t>
            </w:r>
          </w:p>
        </w:tc>
        <w:tc>
          <w:tcPr>
            <w:tcW w:w="8016" w:type="dxa"/>
            <w:vAlign w:val="center"/>
          </w:tcPr>
          <w:p w:rsidR="004366F0" w:rsidRPr="004B5F7A" w:rsidRDefault="000F7E23" w:rsidP="004366F0">
            <w:hyperlink r:id="rId7" w:history="1">
              <w:r w:rsidR="006A2FDF" w:rsidRPr="0004298F">
                <w:rPr>
                  <w:rStyle w:val="Hyperlink"/>
                </w:rPr>
                <w:t>mryan@jasper.k12.ga.us</w:t>
              </w:r>
            </w:hyperlink>
            <w:r w:rsidR="006A2FDF">
              <w:t xml:space="preserve"> </w:t>
            </w:r>
          </w:p>
        </w:tc>
      </w:tr>
      <w:tr w:rsidR="004366F0" w:rsidRPr="00F039A0" w:rsidTr="004366F0">
        <w:trPr>
          <w:trHeight w:val="229"/>
        </w:trPr>
        <w:tc>
          <w:tcPr>
            <w:tcW w:w="2300" w:type="dxa"/>
            <w:vAlign w:val="center"/>
          </w:tcPr>
          <w:p w:rsidR="004366F0" w:rsidRPr="00F039A0" w:rsidRDefault="004366F0" w:rsidP="004366F0">
            <w:pPr>
              <w:jc w:val="right"/>
              <w:rPr>
                <w:b/>
                <w:sz w:val="20"/>
                <w:szCs w:val="20"/>
              </w:rPr>
            </w:pPr>
            <w:r>
              <w:rPr>
                <w:b/>
                <w:sz w:val="20"/>
                <w:szCs w:val="20"/>
              </w:rPr>
              <w:t>Teacher Webpage</w:t>
            </w:r>
          </w:p>
        </w:tc>
        <w:tc>
          <w:tcPr>
            <w:tcW w:w="7050" w:type="dxa"/>
            <w:vAlign w:val="center"/>
          </w:tcPr>
          <w:p w:rsidR="004366F0" w:rsidRPr="004366F0" w:rsidRDefault="000F7E23" w:rsidP="004366F0">
            <w:pPr>
              <w:spacing w:before="100" w:beforeAutospacing="1" w:after="100" w:afterAutospacing="1"/>
              <w:rPr>
                <w:rFonts w:cs="Times New Roman"/>
                <w:bCs/>
              </w:rPr>
            </w:pPr>
            <w:hyperlink r:id="rId8" w:history="1">
              <w:r w:rsidR="004366F0" w:rsidRPr="004366F0">
                <w:rPr>
                  <w:rFonts w:cs="Times New Roman"/>
                  <w:bCs/>
                  <w:color w:val="0000FF"/>
                  <w:u w:val="single"/>
                </w:rPr>
                <w:t>http://jcsd.schoolwires.net/Page/880</w:t>
              </w:r>
            </w:hyperlink>
            <w:r w:rsidR="004366F0" w:rsidRPr="004366F0">
              <w:rPr>
                <w:rFonts w:cs="Times New Roman"/>
                <w:bCs/>
              </w:rPr>
              <w:t xml:space="preserve"> </w:t>
            </w:r>
          </w:p>
        </w:tc>
      </w:tr>
      <w:tr w:rsidR="004366F0" w:rsidRPr="00F039A0" w:rsidTr="004366F0">
        <w:trPr>
          <w:trHeight w:val="879"/>
        </w:trPr>
        <w:tc>
          <w:tcPr>
            <w:tcW w:w="2300" w:type="dxa"/>
            <w:vAlign w:val="center"/>
          </w:tcPr>
          <w:p w:rsidR="004366F0" w:rsidRPr="00F039A0" w:rsidRDefault="004366F0" w:rsidP="004366F0">
            <w:pPr>
              <w:jc w:val="right"/>
              <w:rPr>
                <w:b/>
                <w:sz w:val="20"/>
                <w:szCs w:val="20"/>
              </w:rPr>
            </w:pPr>
            <w:r w:rsidRPr="00F039A0">
              <w:rPr>
                <w:b/>
                <w:sz w:val="20"/>
                <w:szCs w:val="20"/>
              </w:rPr>
              <w:t>Other Information</w:t>
            </w:r>
          </w:p>
        </w:tc>
        <w:tc>
          <w:tcPr>
            <w:tcW w:w="7050" w:type="dxa"/>
            <w:vAlign w:val="center"/>
          </w:tcPr>
          <w:p w:rsidR="004366F0" w:rsidRPr="00877112" w:rsidRDefault="004366F0" w:rsidP="004366F0">
            <w:pPr>
              <w:rPr>
                <w:rFonts w:cs="Times New Roman"/>
                <w:sz w:val="20"/>
                <w:szCs w:val="20"/>
              </w:rPr>
            </w:pPr>
            <w:r w:rsidRPr="00877112">
              <w:rPr>
                <w:sz w:val="20"/>
                <w:szCs w:val="20"/>
              </w:rPr>
              <w:t>The instructo</w:t>
            </w:r>
            <w:r w:rsidR="007773DA">
              <w:rPr>
                <w:sz w:val="20"/>
                <w:szCs w:val="20"/>
              </w:rPr>
              <w:t xml:space="preserve">r is available to address course requirements and student concerns </w:t>
            </w:r>
            <w:r>
              <w:rPr>
                <w:sz w:val="20"/>
                <w:szCs w:val="20"/>
              </w:rPr>
              <w:t xml:space="preserve">every </w:t>
            </w:r>
            <w:r w:rsidR="007773DA">
              <w:rPr>
                <w:sz w:val="20"/>
                <w:szCs w:val="20"/>
              </w:rPr>
              <w:t xml:space="preserve">school </w:t>
            </w:r>
            <w:r>
              <w:rPr>
                <w:sz w:val="20"/>
                <w:szCs w:val="20"/>
              </w:rPr>
              <w:t xml:space="preserve">day, </w:t>
            </w:r>
            <w:r w:rsidR="007773DA">
              <w:rPr>
                <w:sz w:val="20"/>
                <w:szCs w:val="20"/>
              </w:rPr>
              <w:t>as well as through</w:t>
            </w:r>
            <w:r>
              <w:rPr>
                <w:sz w:val="20"/>
                <w:szCs w:val="20"/>
              </w:rPr>
              <w:t xml:space="preserve"> school email, phone</w:t>
            </w:r>
            <w:r w:rsidR="007773DA">
              <w:rPr>
                <w:sz w:val="20"/>
                <w:szCs w:val="20"/>
              </w:rPr>
              <w:t xml:space="preserve"> &amp; course discussion feed in Schoology.</w:t>
            </w:r>
            <w:r w:rsidRPr="00877112">
              <w:rPr>
                <w:sz w:val="20"/>
                <w:szCs w:val="20"/>
              </w:rPr>
              <w:t xml:space="preserve">  If you have a concern and send a message, you can expect a response within 24 hours</w:t>
            </w:r>
            <w:r>
              <w:rPr>
                <w:sz w:val="20"/>
                <w:szCs w:val="20"/>
              </w:rPr>
              <w:t>, except on weekends &amp; school holidays.</w:t>
            </w:r>
          </w:p>
        </w:tc>
      </w:tr>
    </w:tbl>
    <w:p w:rsidR="00E52503" w:rsidRDefault="00E52503" w:rsidP="00E52503"/>
    <w:p w:rsidR="00E52503" w:rsidRPr="005E4A7D" w:rsidRDefault="00E52503" w:rsidP="00E52503">
      <w:pPr>
        <w:rPr>
          <w:color w:val="003300"/>
          <w:sz w:val="24"/>
          <w:szCs w:val="24"/>
        </w:rPr>
      </w:pPr>
      <w:r w:rsidRPr="005E4A7D">
        <w:rPr>
          <w:b/>
          <w:color w:val="003300"/>
          <w:sz w:val="24"/>
          <w:szCs w:val="24"/>
        </w:rPr>
        <w:t>Course Description &amp; Information</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65"/>
        <w:gridCol w:w="8437"/>
      </w:tblGrid>
      <w:tr w:rsidR="00E52503" w:rsidRPr="00F039A0" w:rsidTr="00146400">
        <w:tc>
          <w:tcPr>
            <w:tcW w:w="2065" w:type="dxa"/>
            <w:vAlign w:val="center"/>
          </w:tcPr>
          <w:p w:rsidR="00E52503" w:rsidRPr="00F039A0" w:rsidRDefault="00E52503" w:rsidP="00146400">
            <w:pPr>
              <w:jc w:val="right"/>
              <w:rPr>
                <w:rFonts w:cs="Times New Roman"/>
                <w:b/>
                <w:sz w:val="20"/>
                <w:szCs w:val="20"/>
              </w:rPr>
            </w:pPr>
            <w:r>
              <w:rPr>
                <w:rFonts w:cs="Times New Roman"/>
                <w:b/>
                <w:sz w:val="20"/>
                <w:szCs w:val="20"/>
              </w:rPr>
              <w:t>Learning Expectations</w:t>
            </w:r>
          </w:p>
        </w:tc>
        <w:tc>
          <w:tcPr>
            <w:tcW w:w="8437" w:type="dxa"/>
            <w:vAlign w:val="center"/>
          </w:tcPr>
          <w:p w:rsidR="00E52503" w:rsidRPr="00F039A0" w:rsidRDefault="00E52503" w:rsidP="00146400">
            <w:pPr>
              <w:rPr>
                <w:rFonts w:cs="Times New Roman"/>
                <w:sz w:val="20"/>
                <w:szCs w:val="20"/>
              </w:rPr>
            </w:pPr>
            <w:r>
              <w:rPr>
                <w:rFonts w:cs="Times New Roman"/>
                <w:sz w:val="20"/>
                <w:szCs w:val="20"/>
              </w:rPr>
              <w:t>The student will successfully complete the 9</w:t>
            </w:r>
            <w:r w:rsidRPr="004B6055">
              <w:rPr>
                <w:rFonts w:cs="Times New Roman"/>
                <w:sz w:val="20"/>
                <w:szCs w:val="20"/>
                <w:vertAlign w:val="superscript"/>
              </w:rPr>
              <w:t>th</w:t>
            </w:r>
            <w:r>
              <w:rPr>
                <w:rFonts w:cs="Times New Roman"/>
                <w:sz w:val="20"/>
                <w:szCs w:val="20"/>
              </w:rPr>
              <w:t xml:space="preserve"> Grade Health (high school) course and earn ½ (0.5) high school credit for the course.</w:t>
            </w:r>
          </w:p>
        </w:tc>
      </w:tr>
      <w:tr w:rsidR="00E52503" w:rsidRPr="00F039A0" w:rsidTr="00146400">
        <w:tc>
          <w:tcPr>
            <w:tcW w:w="2065" w:type="dxa"/>
            <w:vAlign w:val="center"/>
          </w:tcPr>
          <w:p w:rsidR="00E52503" w:rsidRPr="00F039A0" w:rsidRDefault="00E52503" w:rsidP="00146400">
            <w:pPr>
              <w:jc w:val="right"/>
              <w:rPr>
                <w:rFonts w:cs="Times New Roman"/>
                <w:b/>
                <w:sz w:val="20"/>
                <w:szCs w:val="20"/>
              </w:rPr>
            </w:pPr>
            <w:r w:rsidRPr="00F039A0">
              <w:rPr>
                <w:rFonts w:cs="Times New Roman"/>
                <w:b/>
                <w:sz w:val="20"/>
                <w:szCs w:val="20"/>
              </w:rPr>
              <w:t>Course Description</w:t>
            </w:r>
          </w:p>
        </w:tc>
        <w:tc>
          <w:tcPr>
            <w:tcW w:w="8437" w:type="dxa"/>
            <w:vAlign w:val="center"/>
          </w:tcPr>
          <w:p w:rsidR="00E52503" w:rsidRPr="00766AED" w:rsidRDefault="00E52503" w:rsidP="00E52503">
            <w:pPr>
              <w:jc w:val="both"/>
              <w:rPr>
                <w:rFonts w:cs="Times New Roman"/>
                <w:sz w:val="20"/>
                <w:szCs w:val="20"/>
              </w:rPr>
            </w:pPr>
            <w:r>
              <w:rPr>
                <w:sz w:val="20"/>
                <w:szCs w:val="20"/>
              </w:rPr>
              <w:t xml:space="preserve">This semester </w:t>
            </w:r>
            <w:r w:rsidRPr="00766AED">
              <w:rPr>
                <w:sz w:val="20"/>
                <w:szCs w:val="20"/>
              </w:rPr>
              <w:t xml:space="preserve">course will include </w:t>
            </w:r>
            <w:r>
              <w:rPr>
                <w:sz w:val="20"/>
                <w:szCs w:val="20"/>
              </w:rPr>
              <w:t xml:space="preserve">interactive </w:t>
            </w:r>
            <w:r w:rsidRPr="00766AED">
              <w:rPr>
                <w:sz w:val="20"/>
                <w:szCs w:val="20"/>
              </w:rPr>
              <w:t>instruction</w:t>
            </w:r>
            <w:r w:rsidR="00D84611">
              <w:rPr>
                <w:sz w:val="20"/>
                <w:szCs w:val="20"/>
              </w:rPr>
              <w:t xml:space="preserve"> using a </w:t>
            </w:r>
            <w:r w:rsidR="00D84611" w:rsidRPr="00D84611">
              <w:rPr>
                <w:sz w:val="20"/>
                <w:szCs w:val="20"/>
                <w:u w:val="single"/>
              </w:rPr>
              <w:t>blended learning format</w:t>
            </w:r>
            <w:r w:rsidR="00D84611">
              <w:rPr>
                <w:sz w:val="20"/>
                <w:szCs w:val="20"/>
              </w:rPr>
              <w:t xml:space="preserve"> (in person and online)</w:t>
            </w:r>
            <w:r w:rsidRPr="00766AED">
              <w:rPr>
                <w:sz w:val="20"/>
                <w:szCs w:val="20"/>
              </w:rPr>
              <w:t xml:space="preserve"> in the concepts of</w:t>
            </w:r>
            <w:r w:rsidRPr="00766AED">
              <w:rPr>
                <w:b/>
                <w:i/>
                <w:sz w:val="20"/>
                <w:szCs w:val="20"/>
              </w:rPr>
              <w:t xml:space="preserve"> </w:t>
            </w:r>
            <w:r w:rsidRPr="00766AED">
              <w:rPr>
                <w:sz w:val="20"/>
                <w:szCs w:val="20"/>
              </w:rPr>
              <w:t>Physical, Mental &amp; Emotional Well-being, Family Living, Growth &amp; Development, Personal Care, Nutritio</w:t>
            </w:r>
            <w:r>
              <w:rPr>
                <w:sz w:val="20"/>
                <w:szCs w:val="20"/>
              </w:rPr>
              <w:t>n, Tobacco, Alcohol &amp;</w:t>
            </w:r>
            <w:r w:rsidRPr="00766AED">
              <w:rPr>
                <w:sz w:val="20"/>
                <w:szCs w:val="20"/>
              </w:rPr>
              <w:t xml:space="preserve"> Drugs</w:t>
            </w:r>
            <w:r>
              <w:rPr>
                <w:sz w:val="20"/>
                <w:szCs w:val="20"/>
              </w:rPr>
              <w:t xml:space="preserve"> (</w:t>
            </w:r>
            <w:r w:rsidR="007773DA">
              <w:rPr>
                <w:sz w:val="20"/>
                <w:szCs w:val="20"/>
              </w:rPr>
              <w:t>DDS/</w:t>
            </w:r>
            <w:r>
              <w:rPr>
                <w:sz w:val="20"/>
                <w:szCs w:val="20"/>
              </w:rPr>
              <w:t>ADAP)</w:t>
            </w:r>
            <w:r w:rsidRPr="00766AED">
              <w:rPr>
                <w:sz w:val="20"/>
                <w:szCs w:val="20"/>
              </w:rPr>
              <w:t xml:space="preserve">, Communicable and Non-Communicable Disease Prevention, and First Aid &amp; Safety. These standards are identified by Georgia’s Performance Standards (GPS) as the skills and knowledge that students should acquire to promote a healthy, active lifestyle. </w:t>
            </w:r>
            <w:r>
              <w:rPr>
                <w:sz w:val="20"/>
                <w:szCs w:val="20"/>
              </w:rPr>
              <w:t xml:space="preserve">Our curriculum includes sex/AIDS education based upon the “Choosing the Best” abstinence-based sex education program. All curricular materials used for sex/AIDS education have been previously approved by the Jasper County School System. </w:t>
            </w:r>
          </w:p>
        </w:tc>
      </w:tr>
    </w:tbl>
    <w:p w:rsidR="00E52503" w:rsidRDefault="00E52503" w:rsidP="00E52503"/>
    <w:p w:rsidR="00E52503" w:rsidRDefault="00E52503" w:rsidP="00E52503"/>
    <w:p w:rsidR="00E52503" w:rsidRPr="009D2868" w:rsidRDefault="00E52503" w:rsidP="00E52503">
      <w:pPr>
        <w:rPr>
          <w:b/>
          <w:sz w:val="24"/>
          <w:szCs w:val="24"/>
        </w:rPr>
      </w:pPr>
      <w:r w:rsidRPr="009D2868">
        <w:rPr>
          <w:b/>
          <w:sz w:val="24"/>
          <w:szCs w:val="24"/>
        </w:rPr>
        <w:t>Georgia Performance Standards for Health Grade 9</w:t>
      </w:r>
    </w:p>
    <w:tbl>
      <w:tblPr>
        <w:tblStyle w:val="TableGrid"/>
        <w:tblpPr w:leftFromText="180" w:rightFromText="180" w:vertAnchor="text" w:tblpY="1"/>
        <w:tblOverlap w:val="never"/>
        <w:tblW w:w="105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85"/>
        <w:gridCol w:w="9527"/>
      </w:tblGrid>
      <w:tr w:rsidR="00E52503" w:rsidTr="00146400">
        <w:trPr>
          <w:trHeight w:val="268"/>
        </w:trPr>
        <w:tc>
          <w:tcPr>
            <w:tcW w:w="985" w:type="dxa"/>
          </w:tcPr>
          <w:p w:rsidR="00E52503" w:rsidRPr="006E2B66" w:rsidRDefault="00E52503" w:rsidP="00146400">
            <w:pPr>
              <w:jc w:val="right"/>
              <w:rPr>
                <w:b/>
              </w:rPr>
            </w:pPr>
            <w:r w:rsidRPr="006E2B66">
              <w:rPr>
                <w:b/>
              </w:rPr>
              <w:t>HE1</w:t>
            </w:r>
          </w:p>
        </w:tc>
        <w:tc>
          <w:tcPr>
            <w:tcW w:w="9527" w:type="dxa"/>
          </w:tcPr>
          <w:p w:rsidR="00E52503" w:rsidRPr="009D2868" w:rsidRDefault="00E52503" w:rsidP="00146400">
            <w:pPr>
              <w:rPr>
                <w:sz w:val="22"/>
                <w:szCs w:val="22"/>
              </w:rPr>
            </w:pPr>
            <w:r w:rsidRPr="009D2868">
              <w:rPr>
                <w:sz w:val="22"/>
                <w:szCs w:val="22"/>
              </w:rPr>
              <w:t>Students will comprehend concepts related to health promotion and disease prevention to enhance health.</w:t>
            </w:r>
          </w:p>
        </w:tc>
      </w:tr>
      <w:tr w:rsidR="00E52503" w:rsidTr="00146400">
        <w:trPr>
          <w:trHeight w:val="295"/>
        </w:trPr>
        <w:tc>
          <w:tcPr>
            <w:tcW w:w="985" w:type="dxa"/>
          </w:tcPr>
          <w:p w:rsidR="00E52503" w:rsidRPr="006E2B66" w:rsidRDefault="00E52503" w:rsidP="00146400">
            <w:pPr>
              <w:jc w:val="right"/>
              <w:rPr>
                <w:b/>
              </w:rPr>
            </w:pPr>
            <w:r>
              <w:rPr>
                <w:b/>
              </w:rPr>
              <w:t>HE2</w:t>
            </w:r>
          </w:p>
        </w:tc>
        <w:tc>
          <w:tcPr>
            <w:tcW w:w="9527" w:type="dxa"/>
          </w:tcPr>
          <w:p w:rsidR="00E52503" w:rsidRPr="009D2868" w:rsidRDefault="00E52503" w:rsidP="00146400">
            <w:pPr>
              <w:rPr>
                <w:sz w:val="22"/>
                <w:szCs w:val="22"/>
              </w:rPr>
            </w:pPr>
            <w:r w:rsidRPr="009D2868">
              <w:rPr>
                <w:sz w:val="22"/>
                <w:szCs w:val="22"/>
              </w:rPr>
              <w:t>Students will analyze the influences of family, peers, culture, media, technology, and other factors on health behaviors.</w:t>
            </w:r>
          </w:p>
        </w:tc>
      </w:tr>
      <w:tr w:rsidR="00E52503" w:rsidTr="00146400">
        <w:trPr>
          <w:trHeight w:val="295"/>
        </w:trPr>
        <w:tc>
          <w:tcPr>
            <w:tcW w:w="985" w:type="dxa"/>
          </w:tcPr>
          <w:p w:rsidR="00E52503" w:rsidRPr="006E2B66" w:rsidRDefault="00E52503" w:rsidP="00146400">
            <w:pPr>
              <w:jc w:val="right"/>
              <w:rPr>
                <w:b/>
              </w:rPr>
            </w:pPr>
            <w:r>
              <w:rPr>
                <w:b/>
              </w:rPr>
              <w:t>HE3</w:t>
            </w:r>
          </w:p>
        </w:tc>
        <w:tc>
          <w:tcPr>
            <w:tcW w:w="9527" w:type="dxa"/>
          </w:tcPr>
          <w:p w:rsidR="00E52503" w:rsidRPr="009D2868" w:rsidRDefault="00E52503" w:rsidP="00146400">
            <w:pPr>
              <w:rPr>
                <w:sz w:val="22"/>
                <w:szCs w:val="22"/>
              </w:rPr>
            </w:pPr>
            <w:r w:rsidRPr="009D2868">
              <w:rPr>
                <w:sz w:val="22"/>
                <w:szCs w:val="22"/>
              </w:rPr>
              <w:t>Students will demonstrate the ability to access valid information and products and services to enhance health.</w:t>
            </w:r>
          </w:p>
        </w:tc>
      </w:tr>
      <w:tr w:rsidR="00E52503" w:rsidTr="00146400">
        <w:trPr>
          <w:trHeight w:val="580"/>
        </w:trPr>
        <w:tc>
          <w:tcPr>
            <w:tcW w:w="985" w:type="dxa"/>
          </w:tcPr>
          <w:p w:rsidR="00E52503" w:rsidRPr="006E2B66" w:rsidRDefault="00E52503" w:rsidP="00146400">
            <w:pPr>
              <w:jc w:val="right"/>
              <w:rPr>
                <w:b/>
              </w:rPr>
            </w:pPr>
            <w:r>
              <w:rPr>
                <w:b/>
              </w:rPr>
              <w:t>HE4</w:t>
            </w:r>
          </w:p>
        </w:tc>
        <w:tc>
          <w:tcPr>
            <w:tcW w:w="9527" w:type="dxa"/>
          </w:tcPr>
          <w:p w:rsidR="00E52503" w:rsidRPr="009D2868" w:rsidRDefault="00E52503" w:rsidP="00146400">
            <w:pPr>
              <w:rPr>
                <w:sz w:val="22"/>
                <w:szCs w:val="22"/>
              </w:rPr>
            </w:pPr>
            <w:r w:rsidRPr="009D2868">
              <w:rPr>
                <w:sz w:val="22"/>
                <w:szCs w:val="22"/>
              </w:rPr>
              <w:t>Students will demonstrate the ability to use interpersonal communication skills to enhance health and avoid or reduce health risks.</w:t>
            </w:r>
          </w:p>
        </w:tc>
      </w:tr>
      <w:tr w:rsidR="00E52503" w:rsidTr="00146400">
        <w:trPr>
          <w:trHeight w:val="317"/>
        </w:trPr>
        <w:tc>
          <w:tcPr>
            <w:tcW w:w="985" w:type="dxa"/>
          </w:tcPr>
          <w:p w:rsidR="00E52503" w:rsidRPr="006E2B66" w:rsidRDefault="00E52503" w:rsidP="00146400">
            <w:pPr>
              <w:jc w:val="right"/>
              <w:rPr>
                <w:b/>
              </w:rPr>
            </w:pPr>
            <w:r>
              <w:rPr>
                <w:b/>
              </w:rPr>
              <w:t>HE5</w:t>
            </w:r>
          </w:p>
        </w:tc>
        <w:tc>
          <w:tcPr>
            <w:tcW w:w="9527" w:type="dxa"/>
          </w:tcPr>
          <w:p w:rsidR="00E52503" w:rsidRPr="009D2868" w:rsidRDefault="00E52503" w:rsidP="00146400">
            <w:pPr>
              <w:rPr>
                <w:sz w:val="22"/>
                <w:szCs w:val="22"/>
              </w:rPr>
            </w:pPr>
            <w:r w:rsidRPr="009D2868">
              <w:rPr>
                <w:sz w:val="22"/>
                <w:szCs w:val="22"/>
              </w:rPr>
              <w:t>Students will demonstrate the ability to use decision-making skills to enhance health.</w:t>
            </w:r>
          </w:p>
        </w:tc>
      </w:tr>
      <w:tr w:rsidR="00E52503" w:rsidTr="00146400">
        <w:trPr>
          <w:trHeight w:val="289"/>
        </w:trPr>
        <w:tc>
          <w:tcPr>
            <w:tcW w:w="985" w:type="dxa"/>
          </w:tcPr>
          <w:p w:rsidR="00E52503" w:rsidRPr="006E2B66" w:rsidRDefault="00E52503" w:rsidP="00146400">
            <w:pPr>
              <w:jc w:val="right"/>
              <w:rPr>
                <w:b/>
              </w:rPr>
            </w:pPr>
            <w:r>
              <w:rPr>
                <w:b/>
              </w:rPr>
              <w:t>HE6</w:t>
            </w:r>
          </w:p>
        </w:tc>
        <w:tc>
          <w:tcPr>
            <w:tcW w:w="9527" w:type="dxa"/>
          </w:tcPr>
          <w:p w:rsidR="00E52503" w:rsidRPr="009D2868" w:rsidRDefault="00E52503" w:rsidP="00146400">
            <w:pPr>
              <w:rPr>
                <w:sz w:val="22"/>
                <w:szCs w:val="22"/>
              </w:rPr>
            </w:pPr>
            <w:r w:rsidRPr="009D2868">
              <w:rPr>
                <w:sz w:val="22"/>
                <w:szCs w:val="22"/>
              </w:rPr>
              <w:t>Students will demonstrate the ability to use goal-setting skills to enhance health.</w:t>
            </w:r>
          </w:p>
        </w:tc>
      </w:tr>
      <w:tr w:rsidR="00E52503" w:rsidTr="00146400">
        <w:trPr>
          <w:trHeight w:val="295"/>
        </w:trPr>
        <w:tc>
          <w:tcPr>
            <w:tcW w:w="985" w:type="dxa"/>
          </w:tcPr>
          <w:p w:rsidR="00E52503" w:rsidRPr="006E2B66" w:rsidRDefault="00E52503" w:rsidP="00146400">
            <w:pPr>
              <w:jc w:val="right"/>
              <w:rPr>
                <w:b/>
              </w:rPr>
            </w:pPr>
            <w:r>
              <w:rPr>
                <w:b/>
              </w:rPr>
              <w:t>HE7</w:t>
            </w:r>
          </w:p>
        </w:tc>
        <w:tc>
          <w:tcPr>
            <w:tcW w:w="9527" w:type="dxa"/>
          </w:tcPr>
          <w:p w:rsidR="00E52503" w:rsidRPr="009D2868" w:rsidRDefault="00E52503" w:rsidP="00146400">
            <w:pPr>
              <w:rPr>
                <w:sz w:val="22"/>
                <w:szCs w:val="22"/>
              </w:rPr>
            </w:pPr>
            <w:r w:rsidRPr="009D2868">
              <w:rPr>
                <w:sz w:val="22"/>
                <w:szCs w:val="22"/>
              </w:rPr>
              <w:t>Students will demonstrate the ability to practice health-enhancing behaviors and avoid or reduce health risks.</w:t>
            </w:r>
          </w:p>
        </w:tc>
      </w:tr>
      <w:tr w:rsidR="00E52503" w:rsidTr="00146400">
        <w:trPr>
          <w:trHeight w:val="338"/>
        </w:trPr>
        <w:tc>
          <w:tcPr>
            <w:tcW w:w="985" w:type="dxa"/>
          </w:tcPr>
          <w:p w:rsidR="00E52503" w:rsidRPr="006E2B66" w:rsidRDefault="00E52503" w:rsidP="00146400">
            <w:pPr>
              <w:jc w:val="right"/>
              <w:rPr>
                <w:b/>
              </w:rPr>
            </w:pPr>
            <w:r>
              <w:rPr>
                <w:b/>
              </w:rPr>
              <w:t>HE8</w:t>
            </w:r>
          </w:p>
        </w:tc>
        <w:tc>
          <w:tcPr>
            <w:tcW w:w="9527" w:type="dxa"/>
          </w:tcPr>
          <w:p w:rsidR="00E52503" w:rsidRPr="009D2868" w:rsidRDefault="00E52503" w:rsidP="00146400">
            <w:pPr>
              <w:rPr>
                <w:sz w:val="22"/>
                <w:szCs w:val="22"/>
              </w:rPr>
            </w:pPr>
            <w:r w:rsidRPr="009D2868">
              <w:rPr>
                <w:sz w:val="22"/>
                <w:szCs w:val="22"/>
              </w:rPr>
              <w:t>Students will demonstrate the ability to advocate for personal, family, and community health.</w:t>
            </w:r>
          </w:p>
        </w:tc>
      </w:tr>
    </w:tbl>
    <w:p w:rsidR="00E52503" w:rsidRDefault="00E52503" w:rsidP="00E52503">
      <w:r>
        <w:rPr>
          <w:sz w:val="20"/>
          <w:szCs w:val="20"/>
        </w:rPr>
        <w:br w:type="textWrapping" w:clear="all"/>
      </w:r>
    </w:p>
    <w:p w:rsidR="00E52503" w:rsidRDefault="00E52503" w:rsidP="00E52503"/>
    <w:p w:rsidR="00E52503" w:rsidRDefault="00E52503" w:rsidP="00E52503"/>
    <w:p w:rsidR="00E52503" w:rsidRDefault="00E52503" w:rsidP="00E52503"/>
    <w:p w:rsidR="00E52503" w:rsidRDefault="00E52503" w:rsidP="00E52503">
      <w:pPr>
        <w:rPr>
          <w:b/>
          <w:color w:val="003300"/>
          <w:sz w:val="24"/>
          <w:szCs w:val="24"/>
        </w:rPr>
      </w:pPr>
      <w:r w:rsidRPr="005E4A7D">
        <w:rPr>
          <w:b/>
          <w:color w:val="003300"/>
          <w:sz w:val="24"/>
          <w:szCs w:val="24"/>
        </w:rPr>
        <w:lastRenderedPageBreak/>
        <w:t>Course Goals, Objectives/Outcomes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85"/>
        <w:gridCol w:w="7465"/>
      </w:tblGrid>
      <w:tr w:rsidR="00E52503" w:rsidRPr="00F039A0" w:rsidTr="00E52503">
        <w:trPr>
          <w:trHeight w:val="1327"/>
        </w:trPr>
        <w:tc>
          <w:tcPr>
            <w:tcW w:w="1885" w:type="dxa"/>
            <w:vAlign w:val="center"/>
          </w:tcPr>
          <w:p w:rsidR="00E52503" w:rsidRPr="00F039A0" w:rsidRDefault="00E52503" w:rsidP="00146400">
            <w:pPr>
              <w:jc w:val="right"/>
              <w:rPr>
                <w:rFonts w:cs="Times New Roman"/>
                <w:b/>
                <w:sz w:val="20"/>
                <w:szCs w:val="20"/>
              </w:rPr>
            </w:pPr>
            <w:r w:rsidRPr="00F039A0">
              <w:rPr>
                <w:rFonts w:cs="Times New Roman"/>
                <w:b/>
                <w:sz w:val="20"/>
                <w:szCs w:val="20"/>
              </w:rPr>
              <w:t>Learning Outcomes</w:t>
            </w:r>
          </w:p>
        </w:tc>
        <w:tc>
          <w:tcPr>
            <w:tcW w:w="7465" w:type="dxa"/>
            <w:vAlign w:val="center"/>
          </w:tcPr>
          <w:p w:rsidR="00E52503" w:rsidRPr="00F039A0" w:rsidRDefault="00E52503" w:rsidP="00E52503">
            <w:pPr>
              <w:jc w:val="both"/>
              <w:rPr>
                <w:rFonts w:cs="Times New Roman"/>
                <w:sz w:val="20"/>
                <w:szCs w:val="20"/>
              </w:rPr>
            </w:pPr>
            <w:r>
              <w:rPr>
                <w:rFonts w:cs="Times New Roman"/>
                <w:sz w:val="20"/>
                <w:szCs w:val="20"/>
              </w:rPr>
              <w:t>The Health Course will be organized into 8 modules to</w:t>
            </w:r>
            <w:r>
              <w:rPr>
                <w:sz w:val="20"/>
                <w:szCs w:val="20"/>
              </w:rPr>
              <w:t xml:space="preserve"> introduce students to health concepts,</w:t>
            </w:r>
            <w:r w:rsidRPr="00877112">
              <w:rPr>
                <w:sz w:val="20"/>
                <w:szCs w:val="20"/>
              </w:rPr>
              <w:t xml:space="preserve"> knowledge and skills to </w:t>
            </w:r>
            <w:r>
              <w:rPr>
                <w:sz w:val="20"/>
                <w:szCs w:val="20"/>
              </w:rPr>
              <w:t xml:space="preserve">promote healthy behaviors </w:t>
            </w:r>
            <w:r w:rsidRPr="00877112">
              <w:rPr>
                <w:sz w:val="20"/>
                <w:szCs w:val="20"/>
              </w:rPr>
              <w:t xml:space="preserve">for life, as identified by the grade specific Georgia Performance Standards </w:t>
            </w:r>
            <w:r>
              <w:rPr>
                <w:sz w:val="20"/>
                <w:szCs w:val="20"/>
              </w:rPr>
              <w:t xml:space="preserve">(GPS) </w:t>
            </w:r>
            <w:r w:rsidRPr="00877112">
              <w:rPr>
                <w:sz w:val="20"/>
                <w:szCs w:val="20"/>
              </w:rPr>
              <w:t>for Health Education</w:t>
            </w:r>
            <w:r w:rsidRPr="00EF0B7C">
              <w:rPr>
                <w:sz w:val="20"/>
                <w:szCs w:val="20"/>
              </w:rPr>
              <w:t xml:space="preserve"> as the skills and knowledge that students should acquire to promote a healthy, active lifestyle.</w:t>
            </w:r>
          </w:p>
        </w:tc>
      </w:tr>
      <w:tr w:rsidR="00E52503" w:rsidRPr="00F039A0" w:rsidTr="00E52503">
        <w:trPr>
          <w:trHeight w:val="436"/>
        </w:trPr>
        <w:tc>
          <w:tcPr>
            <w:tcW w:w="1885" w:type="dxa"/>
            <w:vAlign w:val="center"/>
          </w:tcPr>
          <w:p w:rsidR="00E52503" w:rsidRPr="00FB5EE8" w:rsidRDefault="00E52503" w:rsidP="00146400">
            <w:pPr>
              <w:jc w:val="right"/>
              <w:rPr>
                <w:rFonts w:cs="Times New Roman"/>
                <w:b/>
                <w:sz w:val="20"/>
                <w:szCs w:val="20"/>
              </w:rPr>
            </w:pPr>
            <w:r w:rsidRPr="00FB5EE8">
              <w:rPr>
                <w:rFonts w:cs="Times New Roman"/>
                <w:b/>
                <w:sz w:val="20"/>
                <w:szCs w:val="20"/>
              </w:rPr>
              <w:t>Module 1</w:t>
            </w:r>
          </w:p>
        </w:tc>
        <w:tc>
          <w:tcPr>
            <w:tcW w:w="7465" w:type="dxa"/>
            <w:vAlign w:val="center"/>
          </w:tcPr>
          <w:p w:rsidR="00E52503" w:rsidRPr="00F039A0" w:rsidRDefault="00E52503" w:rsidP="00E52503">
            <w:pPr>
              <w:jc w:val="both"/>
              <w:rPr>
                <w:rFonts w:cs="Times New Roman"/>
                <w:sz w:val="20"/>
                <w:szCs w:val="20"/>
              </w:rPr>
            </w:pPr>
            <w:r>
              <w:rPr>
                <w:rFonts w:cs="Times New Roman"/>
                <w:b/>
                <w:sz w:val="20"/>
                <w:szCs w:val="20"/>
              </w:rPr>
              <w:t>Health &amp; W</w:t>
            </w:r>
            <w:r w:rsidRPr="00FB5EE8">
              <w:rPr>
                <w:rFonts w:cs="Times New Roman"/>
                <w:b/>
                <w:sz w:val="20"/>
                <w:szCs w:val="20"/>
              </w:rPr>
              <w:t>ellness</w:t>
            </w:r>
            <w:r>
              <w:rPr>
                <w:rFonts w:cs="Times New Roman"/>
                <w:b/>
                <w:sz w:val="20"/>
                <w:szCs w:val="20"/>
              </w:rPr>
              <w:t xml:space="preserve"> Basics</w:t>
            </w:r>
            <w:r w:rsidRPr="00FB5EE8">
              <w:rPr>
                <w:rFonts w:cs="Times New Roman"/>
                <w:b/>
                <w:sz w:val="20"/>
                <w:szCs w:val="20"/>
              </w:rPr>
              <w:t>:</w:t>
            </w:r>
            <w:r>
              <w:rPr>
                <w:rFonts w:cs="Times New Roman"/>
                <w:sz w:val="20"/>
                <w:szCs w:val="20"/>
              </w:rPr>
              <w:t xml:space="preserve"> In this unit, you will learn about health and wellness, healthy lifestyles, personal health skills, consumer health, safety and environmental health.</w:t>
            </w:r>
          </w:p>
        </w:tc>
      </w:tr>
      <w:tr w:rsidR="00E52503" w:rsidRPr="00F039A0" w:rsidTr="00E52503">
        <w:trPr>
          <w:trHeight w:val="462"/>
        </w:trPr>
        <w:tc>
          <w:tcPr>
            <w:tcW w:w="1885" w:type="dxa"/>
            <w:vAlign w:val="center"/>
          </w:tcPr>
          <w:p w:rsidR="00E52503" w:rsidRPr="00FB5EE8" w:rsidRDefault="00E52503" w:rsidP="00146400">
            <w:pPr>
              <w:jc w:val="right"/>
              <w:rPr>
                <w:rFonts w:cs="Times New Roman"/>
                <w:b/>
                <w:sz w:val="20"/>
                <w:szCs w:val="20"/>
              </w:rPr>
            </w:pPr>
            <w:r w:rsidRPr="00FB5EE8">
              <w:rPr>
                <w:rFonts w:cs="Times New Roman"/>
                <w:b/>
                <w:sz w:val="20"/>
                <w:szCs w:val="20"/>
              </w:rPr>
              <w:t>Module 2</w:t>
            </w:r>
          </w:p>
        </w:tc>
        <w:tc>
          <w:tcPr>
            <w:tcW w:w="7465" w:type="dxa"/>
            <w:shd w:val="clear" w:color="auto" w:fill="auto"/>
          </w:tcPr>
          <w:p w:rsidR="00E52503" w:rsidRPr="00F039A0" w:rsidRDefault="00E52503" w:rsidP="00E52503">
            <w:pPr>
              <w:jc w:val="both"/>
              <w:rPr>
                <w:rFonts w:cs="Times New Roman"/>
                <w:sz w:val="20"/>
                <w:szCs w:val="20"/>
              </w:rPr>
            </w:pPr>
            <w:r>
              <w:rPr>
                <w:rFonts w:cs="Times New Roman"/>
                <w:b/>
                <w:sz w:val="20"/>
                <w:szCs w:val="20"/>
              </w:rPr>
              <w:t>Mental &amp; Emotional Health</w:t>
            </w:r>
            <w:r w:rsidRPr="00FB5EE8">
              <w:rPr>
                <w:rFonts w:cs="Times New Roman"/>
                <w:b/>
                <w:sz w:val="20"/>
                <w:szCs w:val="20"/>
              </w:rPr>
              <w:t>:</w:t>
            </w:r>
            <w:r>
              <w:rPr>
                <w:rFonts w:cs="Times New Roman"/>
                <w:sz w:val="20"/>
                <w:szCs w:val="20"/>
              </w:rPr>
              <w:t xml:space="preserve"> Topics include achieving mental and emotional health, mental/emotional disorders and stress-related problems,</w:t>
            </w:r>
          </w:p>
        </w:tc>
      </w:tr>
      <w:tr w:rsidR="00E52503" w:rsidRPr="00F039A0" w:rsidTr="00E52503">
        <w:trPr>
          <w:trHeight w:val="462"/>
        </w:trPr>
        <w:tc>
          <w:tcPr>
            <w:tcW w:w="1885" w:type="dxa"/>
            <w:vAlign w:val="center"/>
          </w:tcPr>
          <w:p w:rsidR="00E52503" w:rsidRPr="00FB5EE8" w:rsidRDefault="00E52503" w:rsidP="00146400">
            <w:pPr>
              <w:jc w:val="right"/>
              <w:rPr>
                <w:rFonts w:cs="Times New Roman"/>
                <w:b/>
                <w:sz w:val="20"/>
                <w:szCs w:val="20"/>
              </w:rPr>
            </w:pPr>
            <w:r>
              <w:rPr>
                <w:rFonts w:cs="Times New Roman"/>
                <w:b/>
                <w:sz w:val="20"/>
                <w:szCs w:val="20"/>
              </w:rPr>
              <w:t>Module 3</w:t>
            </w:r>
          </w:p>
        </w:tc>
        <w:tc>
          <w:tcPr>
            <w:tcW w:w="7465" w:type="dxa"/>
            <w:shd w:val="clear" w:color="auto" w:fill="auto"/>
            <w:vAlign w:val="center"/>
          </w:tcPr>
          <w:p w:rsidR="00E52503" w:rsidRPr="00F039A0" w:rsidRDefault="00E52503" w:rsidP="00146400">
            <w:pPr>
              <w:rPr>
                <w:rFonts w:cs="Times New Roman"/>
                <w:sz w:val="20"/>
                <w:szCs w:val="20"/>
              </w:rPr>
            </w:pPr>
            <w:r>
              <w:rPr>
                <w:rFonts w:cs="Times New Roman"/>
                <w:b/>
                <w:sz w:val="20"/>
                <w:szCs w:val="20"/>
              </w:rPr>
              <w:t>Family &amp; Social Health</w:t>
            </w:r>
            <w:r w:rsidRPr="00FB5EE8">
              <w:rPr>
                <w:rFonts w:cs="Times New Roman"/>
                <w:b/>
                <w:sz w:val="20"/>
                <w:szCs w:val="20"/>
              </w:rPr>
              <w:t>:</w:t>
            </w:r>
            <w:r>
              <w:rPr>
                <w:rFonts w:cs="Times New Roman"/>
                <w:sz w:val="20"/>
                <w:szCs w:val="20"/>
              </w:rPr>
              <w:t xml:space="preserve"> In this unit, we will explore the skills for healthy relationships, conflict management, family and peer relationships, refusal skills and dating relationships.</w:t>
            </w:r>
          </w:p>
        </w:tc>
      </w:tr>
      <w:tr w:rsidR="00E52503" w:rsidRPr="00F039A0" w:rsidTr="00E52503">
        <w:trPr>
          <w:trHeight w:val="462"/>
        </w:trPr>
        <w:tc>
          <w:tcPr>
            <w:tcW w:w="1885" w:type="dxa"/>
            <w:vAlign w:val="center"/>
          </w:tcPr>
          <w:p w:rsidR="00E52503" w:rsidRPr="00FB5EE8" w:rsidRDefault="00E52503" w:rsidP="00146400">
            <w:pPr>
              <w:jc w:val="right"/>
              <w:rPr>
                <w:rFonts w:cs="Times New Roman"/>
                <w:b/>
                <w:sz w:val="20"/>
                <w:szCs w:val="20"/>
              </w:rPr>
            </w:pPr>
            <w:r>
              <w:rPr>
                <w:rFonts w:cs="Times New Roman"/>
                <w:b/>
                <w:sz w:val="20"/>
                <w:szCs w:val="20"/>
              </w:rPr>
              <w:t>Module 4</w:t>
            </w:r>
          </w:p>
        </w:tc>
        <w:tc>
          <w:tcPr>
            <w:tcW w:w="7465" w:type="dxa"/>
            <w:shd w:val="clear" w:color="auto" w:fill="auto"/>
            <w:vAlign w:val="center"/>
          </w:tcPr>
          <w:p w:rsidR="00E52503" w:rsidRPr="00B91EA6" w:rsidRDefault="00E52503" w:rsidP="00E52503">
            <w:pPr>
              <w:jc w:val="both"/>
              <w:rPr>
                <w:rFonts w:cs="Times New Roman"/>
                <w:sz w:val="20"/>
                <w:szCs w:val="20"/>
              </w:rPr>
            </w:pPr>
            <w:r>
              <w:rPr>
                <w:rFonts w:cs="Times New Roman"/>
                <w:b/>
                <w:sz w:val="20"/>
                <w:szCs w:val="20"/>
              </w:rPr>
              <w:t xml:space="preserve">Nutrition &amp; Physical Activity: </w:t>
            </w:r>
            <w:r>
              <w:rPr>
                <w:rFonts w:cs="Times New Roman"/>
                <w:sz w:val="20"/>
                <w:szCs w:val="20"/>
              </w:rPr>
              <w:t>We will examine the benefits of being physically active, develop a personal fitness plan, and consider guidelines for healthy eating, body composition, diets, body image and eating disorders.</w:t>
            </w:r>
          </w:p>
        </w:tc>
      </w:tr>
      <w:tr w:rsidR="00E52503" w:rsidRPr="00F039A0" w:rsidTr="00E52503">
        <w:trPr>
          <w:trHeight w:val="699"/>
        </w:trPr>
        <w:tc>
          <w:tcPr>
            <w:tcW w:w="1885" w:type="dxa"/>
            <w:vAlign w:val="center"/>
          </w:tcPr>
          <w:p w:rsidR="00E52503" w:rsidRPr="00FB5EE8" w:rsidRDefault="00E52503" w:rsidP="00146400">
            <w:pPr>
              <w:jc w:val="right"/>
              <w:rPr>
                <w:rFonts w:cs="Times New Roman"/>
                <w:b/>
                <w:sz w:val="20"/>
                <w:szCs w:val="20"/>
              </w:rPr>
            </w:pPr>
            <w:r>
              <w:rPr>
                <w:rFonts w:cs="Times New Roman"/>
                <w:b/>
                <w:sz w:val="20"/>
                <w:szCs w:val="20"/>
              </w:rPr>
              <w:t>Module 5</w:t>
            </w:r>
          </w:p>
        </w:tc>
        <w:tc>
          <w:tcPr>
            <w:tcW w:w="7465" w:type="dxa"/>
            <w:shd w:val="clear" w:color="auto" w:fill="auto"/>
            <w:vAlign w:val="center"/>
          </w:tcPr>
          <w:p w:rsidR="00E52503" w:rsidRPr="00F039A0" w:rsidRDefault="00E52503" w:rsidP="00E52503">
            <w:pPr>
              <w:jc w:val="both"/>
              <w:rPr>
                <w:rFonts w:cs="Times New Roman"/>
                <w:sz w:val="20"/>
                <w:szCs w:val="20"/>
              </w:rPr>
            </w:pPr>
            <w:r>
              <w:rPr>
                <w:rFonts w:cs="Times New Roman"/>
                <w:b/>
                <w:sz w:val="20"/>
                <w:szCs w:val="20"/>
              </w:rPr>
              <w:t>Growth &amp; D</w:t>
            </w:r>
            <w:r w:rsidRPr="00FB5EE8">
              <w:rPr>
                <w:rFonts w:cs="Times New Roman"/>
                <w:b/>
                <w:sz w:val="20"/>
                <w:szCs w:val="20"/>
              </w:rPr>
              <w:t>evelopment:</w:t>
            </w:r>
            <w:r>
              <w:rPr>
                <w:rFonts w:cs="Times New Roman"/>
                <w:sz w:val="20"/>
                <w:szCs w:val="20"/>
              </w:rPr>
              <w:t xml:space="preserve"> This unit will include an overview of the human body systems (skeletal, muscular, nervous, cardiovascular, respiratory, digestive, urinary, endocrine and reproductive). Additional study will include stages of life: prenatal, birth, adolescence, adult, and aging. Abstinence, contraceptives, heredity, genetics, marriage, grieving and loss will also be discussed.</w:t>
            </w:r>
          </w:p>
        </w:tc>
      </w:tr>
      <w:tr w:rsidR="00E52503" w:rsidRPr="00F039A0" w:rsidTr="00E52503">
        <w:trPr>
          <w:trHeight w:val="419"/>
        </w:trPr>
        <w:tc>
          <w:tcPr>
            <w:tcW w:w="1885" w:type="dxa"/>
            <w:vAlign w:val="center"/>
          </w:tcPr>
          <w:p w:rsidR="00E52503" w:rsidRPr="00FB5EE8" w:rsidRDefault="00E52503" w:rsidP="00146400">
            <w:pPr>
              <w:jc w:val="right"/>
              <w:rPr>
                <w:rFonts w:cs="Times New Roman"/>
                <w:b/>
                <w:sz w:val="20"/>
                <w:szCs w:val="20"/>
              </w:rPr>
            </w:pPr>
            <w:r>
              <w:rPr>
                <w:rFonts w:cs="Times New Roman"/>
                <w:b/>
                <w:sz w:val="20"/>
                <w:szCs w:val="20"/>
              </w:rPr>
              <w:t>Module 6</w:t>
            </w:r>
          </w:p>
        </w:tc>
        <w:tc>
          <w:tcPr>
            <w:tcW w:w="7465" w:type="dxa"/>
            <w:vAlign w:val="center"/>
          </w:tcPr>
          <w:p w:rsidR="00E52503" w:rsidRPr="00F039A0" w:rsidRDefault="00E52503" w:rsidP="00E52503">
            <w:pPr>
              <w:jc w:val="both"/>
              <w:rPr>
                <w:rFonts w:cs="Times New Roman"/>
                <w:sz w:val="20"/>
                <w:szCs w:val="20"/>
              </w:rPr>
            </w:pPr>
            <w:r>
              <w:rPr>
                <w:rFonts w:cs="Times New Roman"/>
                <w:b/>
                <w:sz w:val="20"/>
                <w:szCs w:val="20"/>
              </w:rPr>
              <w:t>Tobacco, Alcohol &amp; D</w:t>
            </w:r>
            <w:r w:rsidRPr="00FB5EE8">
              <w:rPr>
                <w:rFonts w:cs="Times New Roman"/>
                <w:b/>
                <w:sz w:val="20"/>
                <w:szCs w:val="20"/>
              </w:rPr>
              <w:t>rugs:</w:t>
            </w:r>
            <w:r>
              <w:rPr>
                <w:rFonts w:cs="Times New Roman"/>
                <w:sz w:val="20"/>
                <w:szCs w:val="20"/>
              </w:rPr>
              <w:t xml:space="preserve"> We will describe how tobacco, alcohol and other drugs affect the body, analyze influences that lead to use, and practice refusal skills to avoid use or addictions.  The ADAP requirement will be met in this unit.</w:t>
            </w:r>
          </w:p>
        </w:tc>
      </w:tr>
      <w:tr w:rsidR="00E52503" w:rsidRPr="00F039A0" w:rsidTr="00E52503">
        <w:trPr>
          <w:trHeight w:val="419"/>
        </w:trPr>
        <w:tc>
          <w:tcPr>
            <w:tcW w:w="1885" w:type="dxa"/>
            <w:vAlign w:val="center"/>
          </w:tcPr>
          <w:p w:rsidR="00E52503" w:rsidRPr="00FB5EE8" w:rsidRDefault="00E52503" w:rsidP="00146400">
            <w:pPr>
              <w:jc w:val="right"/>
              <w:rPr>
                <w:rFonts w:cs="Times New Roman"/>
                <w:b/>
                <w:sz w:val="20"/>
                <w:szCs w:val="20"/>
              </w:rPr>
            </w:pPr>
            <w:r>
              <w:rPr>
                <w:rFonts w:cs="Times New Roman"/>
                <w:b/>
                <w:sz w:val="20"/>
                <w:szCs w:val="20"/>
              </w:rPr>
              <w:t>Module 7</w:t>
            </w:r>
          </w:p>
        </w:tc>
        <w:tc>
          <w:tcPr>
            <w:tcW w:w="7465" w:type="dxa"/>
            <w:vAlign w:val="center"/>
          </w:tcPr>
          <w:p w:rsidR="00E52503" w:rsidRPr="00F039A0" w:rsidRDefault="00E52503" w:rsidP="00E52503">
            <w:pPr>
              <w:jc w:val="both"/>
              <w:rPr>
                <w:rFonts w:cs="Times New Roman"/>
                <w:sz w:val="20"/>
                <w:szCs w:val="20"/>
              </w:rPr>
            </w:pPr>
            <w:r>
              <w:rPr>
                <w:rFonts w:cs="Times New Roman"/>
                <w:b/>
                <w:sz w:val="20"/>
                <w:szCs w:val="20"/>
              </w:rPr>
              <w:t>Diseases &amp; Disorders</w:t>
            </w:r>
            <w:r w:rsidRPr="00FB5EE8">
              <w:rPr>
                <w:rFonts w:cs="Times New Roman"/>
                <w:b/>
                <w:sz w:val="20"/>
                <w:szCs w:val="20"/>
              </w:rPr>
              <w:t>:</w:t>
            </w:r>
            <w:r>
              <w:rPr>
                <w:rFonts w:cs="Times New Roman"/>
                <w:sz w:val="20"/>
                <w:szCs w:val="20"/>
              </w:rPr>
              <w:t xml:space="preserve"> We will learn about types of infectious and non-infectious diseases, how diseases spread, and treatments for various diseases, including STIs, HIV and AIDS. We will explore our immune system and the body’s defense system to understand how to prevent disease and stay healthy. And close the unit exploring various disabilities and/or impairments.</w:t>
            </w:r>
          </w:p>
        </w:tc>
      </w:tr>
      <w:tr w:rsidR="00E52503" w:rsidRPr="00F039A0" w:rsidTr="00E52503">
        <w:trPr>
          <w:trHeight w:val="419"/>
        </w:trPr>
        <w:tc>
          <w:tcPr>
            <w:tcW w:w="1885" w:type="dxa"/>
            <w:vAlign w:val="center"/>
          </w:tcPr>
          <w:p w:rsidR="00E52503" w:rsidRPr="00FB5EE8" w:rsidRDefault="00E52503" w:rsidP="00146400">
            <w:pPr>
              <w:jc w:val="right"/>
              <w:rPr>
                <w:rFonts w:cs="Times New Roman"/>
                <w:b/>
                <w:sz w:val="20"/>
                <w:szCs w:val="20"/>
              </w:rPr>
            </w:pPr>
            <w:r>
              <w:rPr>
                <w:rFonts w:cs="Times New Roman"/>
                <w:b/>
                <w:sz w:val="20"/>
                <w:szCs w:val="20"/>
              </w:rPr>
              <w:t>Module 8</w:t>
            </w:r>
          </w:p>
        </w:tc>
        <w:tc>
          <w:tcPr>
            <w:tcW w:w="7465" w:type="dxa"/>
            <w:vAlign w:val="center"/>
          </w:tcPr>
          <w:p w:rsidR="00E52503" w:rsidRPr="00F039A0" w:rsidRDefault="00E52503" w:rsidP="00E52503">
            <w:pPr>
              <w:jc w:val="both"/>
              <w:rPr>
                <w:rFonts w:cs="Times New Roman"/>
                <w:sz w:val="20"/>
                <w:szCs w:val="20"/>
              </w:rPr>
            </w:pPr>
            <w:r>
              <w:rPr>
                <w:rFonts w:cs="Times New Roman"/>
                <w:b/>
                <w:sz w:val="20"/>
                <w:szCs w:val="20"/>
              </w:rPr>
              <w:t>First A</w:t>
            </w:r>
            <w:r w:rsidRPr="00FB5EE8">
              <w:rPr>
                <w:rFonts w:cs="Times New Roman"/>
                <w:b/>
                <w:sz w:val="20"/>
                <w:szCs w:val="20"/>
              </w:rPr>
              <w:t>id &amp; Safety:</w:t>
            </w:r>
            <w:r>
              <w:rPr>
                <w:rFonts w:cs="Times New Roman"/>
                <w:sz w:val="20"/>
                <w:szCs w:val="20"/>
              </w:rPr>
              <w:t xml:space="preserve"> We will learn how to be safe at home, school, outdoors, and in water. We will identify ways to reduce risk and learn first aid procedures for common emergencies.  We will explore how education/behavior change, legislation, and technology work together to prevent injuries. We will create emergency plans to advocate for safety at home.</w:t>
            </w:r>
          </w:p>
        </w:tc>
      </w:tr>
    </w:tbl>
    <w:p w:rsidR="00E52503" w:rsidRDefault="00E52503" w:rsidP="00E52503"/>
    <w:p w:rsidR="00E52503" w:rsidRPr="004366F0" w:rsidRDefault="00E52503" w:rsidP="00E52503">
      <w:pPr>
        <w:rPr>
          <w:b/>
          <w:sz w:val="24"/>
          <w:szCs w:val="24"/>
        </w:rPr>
      </w:pPr>
      <w:r w:rsidRPr="004366F0">
        <w:rPr>
          <w:b/>
          <w:sz w:val="24"/>
          <w:szCs w:val="24"/>
        </w:rPr>
        <w:t>Course Grading Scale (based on the PERCENTAGE of total points)</w:t>
      </w:r>
    </w:p>
    <w:tbl>
      <w:tblPr>
        <w:tblStyle w:val="TableGrid"/>
        <w:tblW w:w="0" w:type="auto"/>
        <w:tblLook w:val="04A0" w:firstRow="1" w:lastRow="0" w:firstColumn="1" w:lastColumn="0" w:noHBand="0" w:noVBand="1"/>
      </w:tblPr>
      <w:tblGrid>
        <w:gridCol w:w="2857"/>
        <w:gridCol w:w="1080"/>
        <w:gridCol w:w="2600"/>
      </w:tblGrid>
      <w:tr w:rsidR="00E52503" w:rsidTr="00146400">
        <w:tc>
          <w:tcPr>
            <w:tcW w:w="2857" w:type="dxa"/>
          </w:tcPr>
          <w:p w:rsidR="00E52503" w:rsidRPr="004B3E38" w:rsidRDefault="00E52503" w:rsidP="00146400">
            <w:pPr>
              <w:rPr>
                <w:b/>
              </w:rPr>
            </w:pPr>
            <w:r w:rsidRPr="004B3E38">
              <w:rPr>
                <w:b/>
              </w:rPr>
              <w:t>Course Requirement</w:t>
            </w:r>
          </w:p>
        </w:tc>
        <w:tc>
          <w:tcPr>
            <w:tcW w:w="1080" w:type="dxa"/>
          </w:tcPr>
          <w:p w:rsidR="00E52503" w:rsidRPr="004B3E38" w:rsidRDefault="00E52503" w:rsidP="00146400">
            <w:pPr>
              <w:jc w:val="center"/>
              <w:rPr>
                <w:b/>
              </w:rPr>
            </w:pPr>
            <w:r w:rsidRPr="004B3E38">
              <w:rPr>
                <w:b/>
              </w:rPr>
              <w:t>Points</w:t>
            </w:r>
          </w:p>
        </w:tc>
        <w:tc>
          <w:tcPr>
            <w:tcW w:w="2600" w:type="dxa"/>
          </w:tcPr>
          <w:p w:rsidR="00E52503" w:rsidRPr="004B3E38" w:rsidRDefault="00E52503" w:rsidP="00146400">
            <w:pPr>
              <w:jc w:val="center"/>
              <w:rPr>
                <w:b/>
              </w:rPr>
            </w:pPr>
            <w:r w:rsidRPr="004B3E38">
              <w:rPr>
                <w:b/>
              </w:rPr>
              <w:t>Percent of Total Points</w:t>
            </w:r>
          </w:p>
        </w:tc>
      </w:tr>
      <w:tr w:rsidR="00E52503" w:rsidTr="00146400">
        <w:tc>
          <w:tcPr>
            <w:tcW w:w="2857" w:type="dxa"/>
          </w:tcPr>
          <w:p w:rsidR="00E52503" w:rsidRDefault="00E52503" w:rsidP="00146400">
            <w:r>
              <w:t xml:space="preserve">Unit </w:t>
            </w:r>
            <w:r w:rsidR="007773DA">
              <w:t>Tests (</w:t>
            </w:r>
            <w:r>
              <w:t>8)</w:t>
            </w:r>
          </w:p>
        </w:tc>
        <w:tc>
          <w:tcPr>
            <w:tcW w:w="1080" w:type="dxa"/>
          </w:tcPr>
          <w:p w:rsidR="00E52503" w:rsidRDefault="00E52503" w:rsidP="00146400">
            <w:pPr>
              <w:jc w:val="center"/>
            </w:pPr>
            <w:r>
              <w:t>800</w:t>
            </w:r>
          </w:p>
        </w:tc>
        <w:tc>
          <w:tcPr>
            <w:tcW w:w="2600" w:type="dxa"/>
          </w:tcPr>
          <w:p w:rsidR="00E52503" w:rsidRDefault="00E52503" w:rsidP="00146400">
            <w:pPr>
              <w:jc w:val="center"/>
            </w:pPr>
            <w:r>
              <w:t>30%</w:t>
            </w:r>
          </w:p>
        </w:tc>
      </w:tr>
      <w:tr w:rsidR="00E52503" w:rsidTr="00146400">
        <w:tc>
          <w:tcPr>
            <w:tcW w:w="2857" w:type="dxa"/>
          </w:tcPr>
          <w:p w:rsidR="00E52503" w:rsidRDefault="00E52503" w:rsidP="00146400">
            <w:r>
              <w:t>Chats/Discussions/Verso (8</w:t>
            </w:r>
            <w:r w:rsidRPr="00172E8B">
              <w:t>)</w:t>
            </w:r>
          </w:p>
        </w:tc>
        <w:tc>
          <w:tcPr>
            <w:tcW w:w="1080" w:type="dxa"/>
          </w:tcPr>
          <w:p w:rsidR="00E52503" w:rsidRDefault="00E52503" w:rsidP="00146400">
            <w:pPr>
              <w:jc w:val="center"/>
            </w:pPr>
            <w:r>
              <w:t xml:space="preserve">  80</w:t>
            </w:r>
          </w:p>
        </w:tc>
        <w:tc>
          <w:tcPr>
            <w:tcW w:w="2600" w:type="dxa"/>
          </w:tcPr>
          <w:p w:rsidR="00E52503" w:rsidRDefault="00E52503" w:rsidP="00146400">
            <w:pPr>
              <w:jc w:val="center"/>
            </w:pPr>
            <w:r>
              <w:t>15%</w:t>
            </w:r>
          </w:p>
        </w:tc>
      </w:tr>
      <w:tr w:rsidR="00E52503" w:rsidTr="00146400">
        <w:tc>
          <w:tcPr>
            <w:tcW w:w="2857" w:type="dxa"/>
          </w:tcPr>
          <w:p w:rsidR="00E52503" w:rsidRDefault="00E52503" w:rsidP="00146400">
            <w:r>
              <w:t>Module Quizzes (8)</w:t>
            </w:r>
          </w:p>
        </w:tc>
        <w:tc>
          <w:tcPr>
            <w:tcW w:w="1080" w:type="dxa"/>
          </w:tcPr>
          <w:p w:rsidR="00E52503" w:rsidRDefault="00E52503" w:rsidP="00146400">
            <w:pPr>
              <w:jc w:val="center"/>
            </w:pPr>
            <w:r>
              <w:t xml:space="preserve">  80</w:t>
            </w:r>
          </w:p>
        </w:tc>
        <w:tc>
          <w:tcPr>
            <w:tcW w:w="2600" w:type="dxa"/>
          </w:tcPr>
          <w:p w:rsidR="00E52503" w:rsidRDefault="00E52503" w:rsidP="00146400">
            <w:pPr>
              <w:jc w:val="center"/>
            </w:pPr>
            <w:r>
              <w:t xml:space="preserve"> 10%</w:t>
            </w:r>
          </w:p>
        </w:tc>
      </w:tr>
      <w:tr w:rsidR="00E52503" w:rsidTr="00146400">
        <w:tc>
          <w:tcPr>
            <w:tcW w:w="2857" w:type="dxa"/>
          </w:tcPr>
          <w:p w:rsidR="00E52503" w:rsidRDefault="00E52503" w:rsidP="00146400">
            <w:r>
              <w:t>Module Activities (16)</w:t>
            </w:r>
          </w:p>
        </w:tc>
        <w:tc>
          <w:tcPr>
            <w:tcW w:w="1080" w:type="dxa"/>
          </w:tcPr>
          <w:p w:rsidR="00E52503" w:rsidRDefault="00E52503" w:rsidP="00146400">
            <w:pPr>
              <w:jc w:val="center"/>
            </w:pPr>
            <w:r>
              <w:t>400</w:t>
            </w:r>
          </w:p>
        </w:tc>
        <w:tc>
          <w:tcPr>
            <w:tcW w:w="2600" w:type="dxa"/>
          </w:tcPr>
          <w:p w:rsidR="00E52503" w:rsidRDefault="00E52503" w:rsidP="00146400">
            <w:pPr>
              <w:jc w:val="center"/>
            </w:pPr>
            <w:r>
              <w:t>25%</w:t>
            </w:r>
          </w:p>
        </w:tc>
      </w:tr>
      <w:tr w:rsidR="00E52503" w:rsidTr="00146400">
        <w:tc>
          <w:tcPr>
            <w:tcW w:w="2857" w:type="dxa"/>
          </w:tcPr>
          <w:p w:rsidR="00E52503" w:rsidRPr="00480934" w:rsidRDefault="00E52503" w:rsidP="00146400">
            <w:r>
              <w:t xml:space="preserve">Final Reflection </w:t>
            </w:r>
          </w:p>
        </w:tc>
        <w:tc>
          <w:tcPr>
            <w:tcW w:w="1080" w:type="dxa"/>
          </w:tcPr>
          <w:p w:rsidR="00E52503" w:rsidRPr="00480934" w:rsidRDefault="00E52503" w:rsidP="00146400">
            <w:pPr>
              <w:jc w:val="center"/>
            </w:pPr>
            <w:r>
              <w:t>100</w:t>
            </w:r>
          </w:p>
        </w:tc>
        <w:tc>
          <w:tcPr>
            <w:tcW w:w="2600" w:type="dxa"/>
          </w:tcPr>
          <w:p w:rsidR="00E52503" w:rsidRPr="00480934" w:rsidRDefault="00E52503" w:rsidP="00146400">
            <w:pPr>
              <w:jc w:val="center"/>
            </w:pPr>
            <w:r>
              <w:t>10%</w:t>
            </w:r>
          </w:p>
        </w:tc>
      </w:tr>
      <w:tr w:rsidR="00E52503" w:rsidTr="00146400">
        <w:tc>
          <w:tcPr>
            <w:tcW w:w="2857" w:type="dxa"/>
          </w:tcPr>
          <w:p w:rsidR="00E52503" w:rsidRDefault="00E52503" w:rsidP="00146400">
            <w:r>
              <w:t>Cumulative Exam</w:t>
            </w:r>
          </w:p>
        </w:tc>
        <w:tc>
          <w:tcPr>
            <w:tcW w:w="1080" w:type="dxa"/>
          </w:tcPr>
          <w:p w:rsidR="00E52503" w:rsidRDefault="00E52503" w:rsidP="00146400">
            <w:pPr>
              <w:jc w:val="center"/>
            </w:pPr>
            <w:r>
              <w:t>100</w:t>
            </w:r>
          </w:p>
        </w:tc>
        <w:tc>
          <w:tcPr>
            <w:tcW w:w="2600" w:type="dxa"/>
          </w:tcPr>
          <w:p w:rsidR="00E52503" w:rsidRDefault="00E52503" w:rsidP="00146400">
            <w:pPr>
              <w:jc w:val="center"/>
            </w:pPr>
            <w:r>
              <w:t>10%</w:t>
            </w:r>
          </w:p>
        </w:tc>
      </w:tr>
      <w:tr w:rsidR="00E52503" w:rsidTr="00146400">
        <w:tc>
          <w:tcPr>
            <w:tcW w:w="2857" w:type="dxa"/>
          </w:tcPr>
          <w:p w:rsidR="00E52503" w:rsidRPr="004D7B3F" w:rsidRDefault="00E52503" w:rsidP="00146400">
            <w:pPr>
              <w:rPr>
                <w:b/>
              </w:rPr>
            </w:pPr>
            <w:r w:rsidRPr="004D7B3F">
              <w:rPr>
                <w:b/>
              </w:rPr>
              <w:t>Total Points</w:t>
            </w:r>
          </w:p>
        </w:tc>
        <w:tc>
          <w:tcPr>
            <w:tcW w:w="1080" w:type="dxa"/>
          </w:tcPr>
          <w:p w:rsidR="00E52503" w:rsidRPr="004D7B3F" w:rsidRDefault="00E52503" w:rsidP="00146400">
            <w:pPr>
              <w:jc w:val="center"/>
              <w:rPr>
                <w:b/>
              </w:rPr>
            </w:pPr>
            <w:r>
              <w:rPr>
                <w:b/>
              </w:rPr>
              <w:t>1560</w:t>
            </w:r>
          </w:p>
        </w:tc>
        <w:tc>
          <w:tcPr>
            <w:tcW w:w="2600" w:type="dxa"/>
          </w:tcPr>
          <w:p w:rsidR="00E52503" w:rsidRPr="004D7B3F" w:rsidRDefault="00E52503" w:rsidP="00146400">
            <w:pPr>
              <w:jc w:val="center"/>
              <w:rPr>
                <w:b/>
              </w:rPr>
            </w:pPr>
            <w:r w:rsidRPr="004D7B3F">
              <w:rPr>
                <w:b/>
              </w:rPr>
              <w:t>100%</w:t>
            </w:r>
          </w:p>
        </w:tc>
      </w:tr>
    </w:tbl>
    <w:p w:rsidR="00E52503" w:rsidRPr="004366F0" w:rsidRDefault="00E52503" w:rsidP="00E52503">
      <w:pPr>
        <w:rPr>
          <w:b/>
          <w:sz w:val="24"/>
          <w:szCs w:val="24"/>
        </w:rPr>
      </w:pPr>
      <w:r w:rsidRPr="004366F0">
        <w:rPr>
          <w:b/>
          <w:sz w:val="24"/>
          <w:szCs w:val="24"/>
        </w:rPr>
        <w:t>Grading Scale Range:</w:t>
      </w:r>
    </w:p>
    <w:tbl>
      <w:tblPr>
        <w:tblStyle w:val="TableGrid"/>
        <w:tblW w:w="0" w:type="auto"/>
        <w:tblLook w:val="04A0" w:firstRow="1" w:lastRow="0" w:firstColumn="1" w:lastColumn="0" w:noHBand="0" w:noVBand="1"/>
      </w:tblPr>
      <w:tblGrid>
        <w:gridCol w:w="1777"/>
        <w:gridCol w:w="1491"/>
        <w:gridCol w:w="1569"/>
        <w:gridCol w:w="1700"/>
      </w:tblGrid>
      <w:tr w:rsidR="00E52503" w:rsidTr="00146400">
        <w:tc>
          <w:tcPr>
            <w:tcW w:w="1777" w:type="dxa"/>
          </w:tcPr>
          <w:p w:rsidR="00E52503" w:rsidRPr="00BE2875" w:rsidRDefault="00E52503" w:rsidP="00146400">
            <w:pPr>
              <w:jc w:val="center"/>
              <w:rPr>
                <w:b/>
              </w:rPr>
            </w:pPr>
            <w:r>
              <w:rPr>
                <w:b/>
              </w:rPr>
              <w:t>Points</w:t>
            </w:r>
          </w:p>
        </w:tc>
        <w:tc>
          <w:tcPr>
            <w:tcW w:w="1491" w:type="dxa"/>
          </w:tcPr>
          <w:p w:rsidR="00E52503" w:rsidRPr="00BE2875" w:rsidRDefault="00E52503" w:rsidP="00146400">
            <w:pPr>
              <w:jc w:val="center"/>
              <w:rPr>
                <w:b/>
              </w:rPr>
            </w:pPr>
            <w:r>
              <w:rPr>
                <w:b/>
              </w:rPr>
              <w:t>Percentage</w:t>
            </w:r>
          </w:p>
        </w:tc>
        <w:tc>
          <w:tcPr>
            <w:tcW w:w="1569" w:type="dxa"/>
          </w:tcPr>
          <w:p w:rsidR="00E52503" w:rsidRPr="00BE2875" w:rsidRDefault="00E52503" w:rsidP="00146400">
            <w:pPr>
              <w:jc w:val="center"/>
              <w:rPr>
                <w:b/>
              </w:rPr>
            </w:pPr>
            <w:r>
              <w:rPr>
                <w:b/>
              </w:rPr>
              <w:t>Letter Grade</w:t>
            </w:r>
          </w:p>
        </w:tc>
        <w:tc>
          <w:tcPr>
            <w:tcW w:w="1700" w:type="dxa"/>
          </w:tcPr>
          <w:p w:rsidR="00E52503" w:rsidRPr="00BE2875" w:rsidRDefault="00E52503" w:rsidP="00146400">
            <w:pPr>
              <w:jc w:val="center"/>
              <w:rPr>
                <w:b/>
              </w:rPr>
            </w:pPr>
            <w:r w:rsidRPr="00BE2875">
              <w:rPr>
                <w:b/>
              </w:rPr>
              <w:t>GPA Point Value</w:t>
            </w:r>
          </w:p>
        </w:tc>
      </w:tr>
      <w:tr w:rsidR="00E52503" w:rsidTr="00146400">
        <w:tc>
          <w:tcPr>
            <w:tcW w:w="1777" w:type="dxa"/>
          </w:tcPr>
          <w:p w:rsidR="00E52503" w:rsidRDefault="00E52503" w:rsidP="00146400">
            <w:pPr>
              <w:jc w:val="center"/>
            </w:pPr>
            <w:r>
              <w:t>1404 and above</w:t>
            </w:r>
          </w:p>
        </w:tc>
        <w:tc>
          <w:tcPr>
            <w:tcW w:w="1491" w:type="dxa"/>
          </w:tcPr>
          <w:p w:rsidR="00E52503" w:rsidRPr="00BE2875" w:rsidRDefault="00E52503" w:rsidP="00146400">
            <w:pPr>
              <w:jc w:val="center"/>
            </w:pPr>
            <w:r w:rsidRPr="00BE2875">
              <w:t>90% and above</w:t>
            </w:r>
          </w:p>
        </w:tc>
        <w:tc>
          <w:tcPr>
            <w:tcW w:w="1569" w:type="dxa"/>
          </w:tcPr>
          <w:p w:rsidR="00E52503" w:rsidRDefault="00E52503" w:rsidP="00146400">
            <w:pPr>
              <w:jc w:val="center"/>
            </w:pPr>
            <w:r>
              <w:t>A</w:t>
            </w:r>
          </w:p>
        </w:tc>
        <w:tc>
          <w:tcPr>
            <w:tcW w:w="1700" w:type="dxa"/>
          </w:tcPr>
          <w:p w:rsidR="00E52503" w:rsidRDefault="00E52503" w:rsidP="00146400">
            <w:pPr>
              <w:jc w:val="center"/>
            </w:pPr>
            <w:r>
              <w:t>4.0</w:t>
            </w:r>
          </w:p>
        </w:tc>
      </w:tr>
      <w:tr w:rsidR="00E52503" w:rsidTr="00146400">
        <w:tc>
          <w:tcPr>
            <w:tcW w:w="1777" w:type="dxa"/>
          </w:tcPr>
          <w:p w:rsidR="00E52503" w:rsidRDefault="00E52503" w:rsidP="00146400">
            <w:pPr>
              <w:jc w:val="center"/>
            </w:pPr>
            <w:r>
              <w:t>1357-1403</w:t>
            </w:r>
          </w:p>
        </w:tc>
        <w:tc>
          <w:tcPr>
            <w:tcW w:w="1491" w:type="dxa"/>
          </w:tcPr>
          <w:p w:rsidR="00E52503" w:rsidRDefault="00E52503" w:rsidP="00146400">
            <w:pPr>
              <w:jc w:val="center"/>
            </w:pPr>
            <w:r>
              <w:t>87-89%</w:t>
            </w:r>
          </w:p>
        </w:tc>
        <w:tc>
          <w:tcPr>
            <w:tcW w:w="1569" w:type="dxa"/>
          </w:tcPr>
          <w:p w:rsidR="00E52503" w:rsidRDefault="00E52503" w:rsidP="00146400">
            <w:pPr>
              <w:jc w:val="center"/>
            </w:pPr>
            <w:r>
              <w:t xml:space="preserve">  B+</w:t>
            </w:r>
          </w:p>
        </w:tc>
        <w:tc>
          <w:tcPr>
            <w:tcW w:w="1700" w:type="dxa"/>
          </w:tcPr>
          <w:p w:rsidR="00E52503" w:rsidRDefault="00E52503" w:rsidP="00146400">
            <w:pPr>
              <w:jc w:val="center"/>
            </w:pPr>
            <w:r>
              <w:t>3.33</w:t>
            </w:r>
          </w:p>
        </w:tc>
      </w:tr>
      <w:tr w:rsidR="00E52503" w:rsidTr="00146400">
        <w:tc>
          <w:tcPr>
            <w:tcW w:w="1777" w:type="dxa"/>
          </w:tcPr>
          <w:p w:rsidR="00E52503" w:rsidRDefault="00E52503" w:rsidP="00146400">
            <w:pPr>
              <w:jc w:val="center"/>
            </w:pPr>
            <w:r>
              <w:t>1294-1356</w:t>
            </w:r>
          </w:p>
        </w:tc>
        <w:tc>
          <w:tcPr>
            <w:tcW w:w="1491" w:type="dxa"/>
          </w:tcPr>
          <w:p w:rsidR="00E52503" w:rsidRDefault="00E52503" w:rsidP="00146400">
            <w:pPr>
              <w:jc w:val="center"/>
            </w:pPr>
            <w:r>
              <w:t>83-86%</w:t>
            </w:r>
          </w:p>
        </w:tc>
        <w:tc>
          <w:tcPr>
            <w:tcW w:w="1569" w:type="dxa"/>
          </w:tcPr>
          <w:p w:rsidR="00E52503" w:rsidRDefault="00E52503" w:rsidP="00146400">
            <w:pPr>
              <w:jc w:val="center"/>
            </w:pPr>
            <w:r>
              <w:t>B</w:t>
            </w:r>
          </w:p>
        </w:tc>
        <w:tc>
          <w:tcPr>
            <w:tcW w:w="1700" w:type="dxa"/>
          </w:tcPr>
          <w:p w:rsidR="00E52503" w:rsidRDefault="00E52503" w:rsidP="00146400">
            <w:pPr>
              <w:jc w:val="center"/>
            </w:pPr>
            <w:r>
              <w:t>3.0</w:t>
            </w:r>
          </w:p>
        </w:tc>
      </w:tr>
      <w:tr w:rsidR="00E52503" w:rsidTr="00146400">
        <w:tc>
          <w:tcPr>
            <w:tcW w:w="1777" w:type="dxa"/>
          </w:tcPr>
          <w:p w:rsidR="00E52503" w:rsidRDefault="00E52503" w:rsidP="00146400">
            <w:pPr>
              <w:jc w:val="center"/>
            </w:pPr>
            <w:r>
              <w:t>1248-1293</w:t>
            </w:r>
          </w:p>
        </w:tc>
        <w:tc>
          <w:tcPr>
            <w:tcW w:w="1491" w:type="dxa"/>
          </w:tcPr>
          <w:p w:rsidR="00E52503" w:rsidRDefault="00E52503" w:rsidP="00146400">
            <w:pPr>
              <w:jc w:val="center"/>
            </w:pPr>
            <w:r>
              <w:t>80-82%</w:t>
            </w:r>
          </w:p>
        </w:tc>
        <w:tc>
          <w:tcPr>
            <w:tcW w:w="1569" w:type="dxa"/>
          </w:tcPr>
          <w:p w:rsidR="00E52503" w:rsidRDefault="00E52503" w:rsidP="00146400">
            <w:pPr>
              <w:jc w:val="center"/>
            </w:pPr>
            <w:r>
              <w:t xml:space="preserve"> B-</w:t>
            </w:r>
          </w:p>
        </w:tc>
        <w:tc>
          <w:tcPr>
            <w:tcW w:w="1700" w:type="dxa"/>
          </w:tcPr>
          <w:p w:rsidR="00E52503" w:rsidRDefault="00E52503" w:rsidP="00146400">
            <w:pPr>
              <w:jc w:val="center"/>
            </w:pPr>
            <w:r>
              <w:t>2.67</w:t>
            </w:r>
          </w:p>
        </w:tc>
      </w:tr>
      <w:tr w:rsidR="00E52503" w:rsidTr="00146400">
        <w:tc>
          <w:tcPr>
            <w:tcW w:w="1777" w:type="dxa"/>
          </w:tcPr>
          <w:p w:rsidR="00E52503" w:rsidRDefault="00E52503" w:rsidP="00146400">
            <w:pPr>
              <w:jc w:val="center"/>
            </w:pPr>
            <w:r>
              <w:t>1201-1247</w:t>
            </w:r>
          </w:p>
        </w:tc>
        <w:tc>
          <w:tcPr>
            <w:tcW w:w="1491" w:type="dxa"/>
          </w:tcPr>
          <w:p w:rsidR="00E52503" w:rsidRDefault="00E52503" w:rsidP="00146400">
            <w:pPr>
              <w:jc w:val="center"/>
            </w:pPr>
            <w:r>
              <w:t>77-79%</w:t>
            </w:r>
          </w:p>
        </w:tc>
        <w:tc>
          <w:tcPr>
            <w:tcW w:w="1569" w:type="dxa"/>
          </w:tcPr>
          <w:p w:rsidR="00E52503" w:rsidRDefault="00E52503" w:rsidP="00146400">
            <w:pPr>
              <w:jc w:val="center"/>
            </w:pPr>
            <w:r>
              <w:t xml:space="preserve"> C+</w:t>
            </w:r>
          </w:p>
        </w:tc>
        <w:tc>
          <w:tcPr>
            <w:tcW w:w="1700" w:type="dxa"/>
          </w:tcPr>
          <w:p w:rsidR="00E52503" w:rsidRDefault="00E52503" w:rsidP="00146400">
            <w:pPr>
              <w:jc w:val="center"/>
            </w:pPr>
            <w:r>
              <w:t>2.33</w:t>
            </w:r>
          </w:p>
        </w:tc>
      </w:tr>
      <w:tr w:rsidR="00E52503" w:rsidTr="00146400">
        <w:tc>
          <w:tcPr>
            <w:tcW w:w="1777" w:type="dxa"/>
          </w:tcPr>
          <w:p w:rsidR="00E52503" w:rsidRDefault="00E52503" w:rsidP="00146400">
            <w:pPr>
              <w:jc w:val="center"/>
            </w:pPr>
            <w:r>
              <w:t>1138-1200</w:t>
            </w:r>
          </w:p>
        </w:tc>
        <w:tc>
          <w:tcPr>
            <w:tcW w:w="1491" w:type="dxa"/>
          </w:tcPr>
          <w:p w:rsidR="00E52503" w:rsidRDefault="00E52503" w:rsidP="00146400">
            <w:pPr>
              <w:jc w:val="center"/>
            </w:pPr>
            <w:r>
              <w:t>73-76%</w:t>
            </w:r>
          </w:p>
        </w:tc>
        <w:tc>
          <w:tcPr>
            <w:tcW w:w="1569" w:type="dxa"/>
          </w:tcPr>
          <w:p w:rsidR="00E52503" w:rsidRDefault="00E52503" w:rsidP="00146400">
            <w:pPr>
              <w:jc w:val="center"/>
            </w:pPr>
            <w:r>
              <w:t>C</w:t>
            </w:r>
          </w:p>
        </w:tc>
        <w:tc>
          <w:tcPr>
            <w:tcW w:w="1700" w:type="dxa"/>
          </w:tcPr>
          <w:p w:rsidR="00E52503" w:rsidRDefault="00E52503" w:rsidP="00146400">
            <w:pPr>
              <w:jc w:val="center"/>
            </w:pPr>
            <w:r>
              <w:t>2.0</w:t>
            </w:r>
          </w:p>
        </w:tc>
      </w:tr>
      <w:tr w:rsidR="00E52503" w:rsidTr="00146400">
        <w:tc>
          <w:tcPr>
            <w:tcW w:w="1777" w:type="dxa"/>
          </w:tcPr>
          <w:p w:rsidR="00E52503" w:rsidRDefault="00E52503" w:rsidP="00146400">
            <w:pPr>
              <w:jc w:val="center"/>
            </w:pPr>
            <w:r>
              <w:t>1092-1137</w:t>
            </w:r>
          </w:p>
        </w:tc>
        <w:tc>
          <w:tcPr>
            <w:tcW w:w="1491" w:type="dxa"/>
          </w:tcPr>
          <w:p w:rsidR="00E52503" w:rsidRDefault="00E52503" w:rsidP="00146400">
            <w:pPr>
              <w:jc w:val="center"/>
            </w:pPr>
            <w:r>
              <w:t>70-72%</w:t>
            </w:r>
          </w:p>
        </w:tc>
        <w:tc>
          <w:tcPr>
            <w:tcW w:w="1569" w:type="dxa"/>
          </w:tcPr>
          <w:p w:rsidR="00E52503" w:rsidRDefault="00E52503" w:rsidP="00146400">
            <w:pPr>
              <w:jc w:val="center"/>
            </w:pPr>
            <w:r>
              <w:t xml:space="preserve"> C-</w:t>
            </w:r>
          </w:p>
        </w:tc>
        <w:tc>
          <w:tcPr>
            <w:tcW w:w="1700" w:type="dxa"/>
          </w:tcPr>
          <w:p w:rsidR="00E52503" w:rsidRDefault="00E52503" w:rsidP="00146400">
            <w:pPr>
              <w:jc w:val="center"/>
            </w:pPr>
            <w:r>
              <w:t>1.67</w:t>
            </w:r>
          </w:p>
        </w:tc>
      </w:tr>
      <w:tr w:rsidR="00E52503" w:rsidTr="00146400">
        <w:tc>
          <w:tcPr>
            <w:tcW w:w="1777" w:type="dxa"/>
          </w:tcPr>
          <w:p w:rsidR="00E52503" w:rsidRDefault="00E52503" w:rsidP="00146400">
            <w:pPr>
              <w:jc w:val="center"/>
            </w:pPr>
            <w:r>
              <w:t>1136 and below</w:t>
            </w:r>
          </w:p>
        </w:tc>
        <w:tc>
          <w:tcPr>
            <w:tcW w:w="1491" w:type="dxa"/>
          </w:tcPr>
          <w:p w:rsidR="00E52503" w:rsidRDefault="00E52503" w:rsidP="00146400">
            <w:pPr>
              <w:jc w:val="center"/>
            </w:pPr>
            <w:r>
              <w:t>Below 70%</w:t>
            </w:r>
          </w:p>
        </w:tc>
        <w:tc>
          <w:tcPr>
            <w:tcW w:w="1569" w:type="dxa"/>
          </w:tcPr>
          <w:p w:rsidR="00E52503" w:rsidRDefault="00E52503" w:rsidP="00146400">
            <w:pPr>
              <w:jc w:val="center"/>
            </w:pPr>
            <w:r>
              <w:t>F</w:t>
            </w:r>
          </w:p>
        </w:tc>
        <w:tc>
          <w:tcPr>
            <w:tcW w:w="1700" w:type="dxa"/>
          </w:tcPr>
          <w:p w:rsidR="00E52503" w:rsidRDefault="00E52503" w:rsidP="00146400">
            <w:pPr>
              <w:jc w:val="center"/>
            </w:pPr>
            <w:r>
              <w:t>0</w:t>
            </w:r>
          </w:p>
        </w:tc>
      </w:tr>
    </w:tbl>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6768"/>
      </w:tblGrid>
      <w:tr w:rsidR="00E52503" w:rsidTr="00146400">
        <w:trPr>
          <w:trHeight w:val="3311"/>
        </w:trPr>
        <w:tc>
          <w:tcPr>
            <w:tcW w:w="2088" w:type="dxa"/>
            <w:vAlign w:val="center"/>
          </w:tcPr>
          <w:p w:rsidR="00E52503" w:rsidRDefault="00E52503" w:rsidP="00146400">
            <w:pPr>
              <w:jc w:val="right"/>
              <w:rPr>
                <w:b/>
                <w:sz w:val="20"/>
                <w:szCs w:val="20"/>
              </w:rPr>
            </w:pPr>
            <w:r w:rsidRPr="00F039A0">
              <w:rPr>
                <w:b/>
                <w:sz w:val="20"/>
                <w:szCs w:val="20"/>
              </w:rPr>
              <w:t>Grading</w:t>
            </w:r>
          </w:p>
          <w:p w:rsidR="00E52503" w:rsidRDefault="00E52503" w:rsidP="00146400">
            <w:pPr>
              <w:jc w:val="right"/>
              <w:rPr>
                <w:b/>
                <w:sz w:val="20"/>
                <w:szCs w:val="20"/>
              </w:rPr>
            </w:pPr>
            <w:r w:rsidRPr="00F039A0">
              <w:rPr>
                <w:b/>
                <w:sz w:val="20"/>
                <w:szCs w:val="20"/>
              </w:rPr>
              <w:t xml:space="preserve"> Criteria</w:t>
            </w:r>
          </w:p>
          <w:p w:rsidR="00E52503" w:rsidRPr="00F039A0" w:rsidRDefault="00E52503" w:rsidP="00146400">
            <w:pPr>
              <w:jc w:val="right"/>
              <w:rPr>
                <w:b/>
                <w:sz w:val="20"/>
                <w:szCs w:val="20"/>
              </w:rPr>
            </w:pPr>
            <w:r>
              <w:rPr>
                <w:b/>
                <w:sz w:val="20"/>
                <w:szCs w:val="20"/>
              </w:rPr>
              <w:t>(</w:t>
            </w:r>
            <w:r w:rsidR="00E85CF6">
              <w:rPr>
                <w:b/>
                <w:sz w:val="20"/>
                <w:szCs w:val="20"/>
              </w:rPr>
              <w:t xml:space="preserve">credit)  </w:t>
            </w:r>
          </w:p>
        </w:tc>
        <w:tc>
          <w:tcPr>
            <w:tcW w:w="6768" w:type="dxa"/>
            <w:vAlign w:val="center"/>
          </w:tcPr>
          <w:p w:rsidR="00E52503" w:rsidRDefault="00E52503" w:rsidP="00146400">
            <w:pPr>
              <w:rPr>
                <w:b/>
              </w:rPr>
            </w:pPr>
            <w:r>
              <w:rPr>
                <w:b/>
              </w:rPr>
              <w:t>Instructor’s Grading Policies:</w:t>
            </w:r>
          </w:p>
          <w:p w:rsidR="00E52503" w:rsidRDefault="00E52503" w:rsidP="00146400">
            <w:r>
              <w:t>Your grade is in your hands! You determine your grade based on the quality and quantity of your work. Your success, or failure, depends on your time management skills, quality time spent on assignments and communication with me on questions or concerns about an assignment. Everyone or no one can receive an “A.”</w:t>
            </w:r>
          </w:p>
          <w:p w:rsidR="00E52503" w:rsidRDefault="00E52503" w:rsidP="00146400"/>
          <w:p w:rsidR="00E52503" w:rsidRDefault="00E52503" w:rsidP="00146400">
            <w:pPr>
              <w:rPr>
                <w:b/>
              </w:rPr>
            </w:pPr>
            <w:r>
              <w:rPr>
                <w:b/>
              </w:rPr>
              <w:t>Course Assistance:</w:t>
            </w:r>
          </w:p>
          <w:p w:rsidR="00E52503" w:rsidRDefault="00E52503" w:rsidP="00E52503">
            <w:pPr>
              <w:pStyle w:val="ListParagraph"/>
              <w:numPr>
                <w:ilvl w:val="0"/>
                <w:numId w:val="1"/>
              </w:numPr>
              <w:rPr>
                <w:sz w:val="20"/>
                <w:szCs w:val="20"/>
              </w:rPr>
            </w:pPr>
            <w:r w:rsidRPr="006901A6">
              <w:rPr>
                <w:sz w:val="20"/>
                <w:szCs w:val="20"/>
              </w:rPr>
              <w:t xml:space="preserve">If you have any questions or are unclear about course expectations, grading procedures, course content, or any assignments, activities, quizzes, or exams, contact your instructor immediately. </w:t>
            </w:r>
          </w:p>
          <w:p w:rsidR="00E52503" w:rsidRPr="006901A6" w:rsidRDefault="00E52503" w:rsidP="00146400">
            <w:pPr>
              <w:pStyle w:val="ListParagraph"/>
              <w:rPr>
                <w:sz w:val="20"/>
                <w:szCs w:val="20"/>
              </w:rPr>
            </w:pPr>
            <w:r w:rsidRPr="006901A6">
              <w:rPr>
                <w:sz w:val="20"/>
                <w:szCs w:val="20"/>
              </w:rPr>
              <w:t>Don’t wait until it’s too late!</w:t>
            </w:r>
          </w:p>
          <w:p w:rsidR="00E52503" w:rsidRPr="00CC3B42" w:rsidRDefault="00E52503" w:rsidP="00E52503">
            <w:pPr>
              <w:pStyle w:val="ListParagraph"/>
              <w:numPr>
                <w:ilvl w:val="0"/>
                <w:numId w:val="1"/>
              </w:numPr>
              <w:rPr>
                <w:sz w:val="20"/>
                <w:szCs w:val="20"/>
              </w:rPr>
            </w:pPr>
            <w:r w:rsidRPr="006901A6">
              <w:rPr>
                <w:sz w:val="20"/>
                <w:szCs w:val="20"/>
              </w:rPr>
              <w:t>Keep up with weekly assignments and activities.</w:t>
            </w:r>
          </w:p>
          <w:p w:rsidR="00E52503" w:rsidRPr="006901A6" w:rsidRDefault="00E52503" w:rsidP="00146400">
            <w:pPr>
              <w:pStyle w:val="ListParagraph"/>
              <w:rPr>
                <w:sz w:val="20"/>
                <w:szCs w:val="20"/>
              </w:rPr>
            </w:pPr>
          </w:p>
        </w:tc>
      </w:tr>
      <w:tr w:rsidR="00E52503" w:rsidTr="00146400">
        <w:tc>
          <w:tcPr>
            <w:tcW w:w="2088" w:type="dxa"/>
            <w:vAlign w:val="center"/>
          </w:tcPr>
          <w:p w:rsidR="00E52503" w:rsidRPr="00F039A0" w:rsidRDefault="00E52503" w:rsidP="00146400">
            <w:pPr>
              <w:jc w:val="right"/>
              <w:rPr>
                <w:b/>
                <w:sz w:val="20"/>
                <w:szCs w:val="20"/>
              </w:rPr>
            </w:pPr>
            <w:r>
              <w:rPr>
                <w:b/>
                <w:sz w:val="20"/>
                <w:szCs w:val="20"/>
              </w:rPr>
              <w:t xml:space="preserve">Activities &amp; </w:t>
            </w:r>
            <w:r w:rsidRPr="00F039A0">
              <w:rPr>
                <w:b/>
                <w:sz w:val="20"/>
                <w:szCs w:val="20"/>
              </w:rPr>
              <w:t>Assignments</w:t>
            </w:r>
          </w:p>
        </w:tc>
        <w:tc>
          <w:tcPr>
            <w:tcW w:w="6768" w:type="dxa"/>
            <w:vAlign w:val="center"/>
          </w:tcPr>
          <w:p w:rsidR="00E52503" w:rsidRPr="009A0B55" w:rsidRDefault="00E52503" w:rsidP="00146400">
            <w:pPr>
              <w:rPr>
                <w:sz w:val="20"/>
                <w:szCs w:val="20"/>
              </w:rPr>
            </w:pPr>
            <w:r>
              <w:rPr>
                <w:b/>
                <w:sz w:val="20"/>
                <w:szCs w:val="20"/>
              </w:rPr>
              <w:t>Assignments are due by 10:00</w:t>
            </w:r>
            <w:r w:rsidRPr="009A0B55">
              <w:rPr>
                <w:b/>
                <w:sz w:val="20"/>
                <w:szCs w:val="20"/>
              </w:rPr>
              <w:t xml:space="preserve"> P.M. (EST) on the date specified in the Schedule of Assignments</w:t>
            </w:r>
            <w:r w:rsidRPr="00FF26F4">
              <w:rPr>
                <w:sz w:val="20"/>
                <w:szCs w:val="20"/>
              </w:rPr>
              <w:t xml:space="preserve">.  </w:t>
            </w:r>
            <w:r w:rsidRPr="009A0B55">
              <w:rPr>
                <w:b/>
                <w:sz w:val="20"/>
                <w:szCs w:val="20"/>
                <w:u w:val="single"/>
              </w:rPr>
              <w:t>Assignments will not be accepted</w:t>
            </w:r>
            <w:r w:rsidR="004B0E5D">
              <w:rPr>
                <w:b/>
                <w:sz w:val="20"/>
                <w:szCs w:val="20"/>
                <w:u w:val="single"/>
              </w:rPr>
              <w:t xml:space="preserve"> without penalty</w:t>
            </w:r>
            <w:r w:rsidRPr="009A0B55">
              <w:rPr>
                <w:b/>
                <w:sz w:val="20"/>
                <w:szCs w:val="20"/>
                <w:u w:val="single"/>
              </w:rPr>
              <w:t xml:space="preserve"> after the due date unless prior arrangements have been made with Coach Mo.</w:t>
            </w:r>
            <w:r>
              <w:rPr>
                <w:b/>
                <w:sz w:val="20"/>
                <w:szCs w:val="20"/>
                <w:u w:val="single"/>
              </w:rPr>
              <w:t xml:space="preserve"> </w:t>
            </w:r>
            <w:r>
              <w:rPr>
                <w:sz w:val="20"/>
                <w:szCs w:val="20"/>
              </w:rPr>
              <w:t xml:space="preserve"> It is suggested that </w:t>
            </w:r>
            <w:r w:rsidR="007773DA">
              <w:rPr>
                <w:sz w:val="20"/>
                <w:szCs w:val="20"/>
              </w:rPr>
              <w:t>students save</w:t>
            </w:r>
            <w:r>
              <w:rPr>
                <w:sz w:val="20"/>
                <w:szCs w:val="20"/>
              </w:rPr>
              <w:t xml:space="preserve"> all work </w:t>
            </w:r>
            <w:r w:rsidR="007773DA">
              <w:rPr>
                <w:sz w:val="20"/>
                <w:szCs w:val="20"/>
              </w:rPr>
              <w:t>on their personal PC/device and sub</w:t>
            </w:r>
            <w:r>
              <w:rPr>
                <w:sz w:val="20"/>
                <w:szCs w:val="20"/>
              </w:rPr>
              <w:t xml:space="preserve">mit </w:t>
            </w:r>
            <w:r w:rsidR="007773DA">
              <w:rPr>
                <w:sz w:val="20"/>
                <w:szCs w:val="20"/>
              </w:rPr>
              <w:t>assignments</w:t>
            </w:r>
            <w:r>
              <w:rPr>
                <w:sz w:val="20"/>
                <w:szCs w:val="20"/>
              </w:rPr>
              <w:t xml:space="preserve"> early to avoid technical problems.</w:t>
            </w:r>
          </w:p>
        </w:tc>
      </w:tr>
      <w:tr w:rsidR="00E52503" w:rsidTr="00146400">
        <w:tc>
          <w:tcPr>
            <w:tcW w:w="2088" w:type="dxa"/>
            <w:vAlign w:val="center"/>
          </w:tcPr>
          <w:p w:rsidR="00E52503" w:rsidRPr="00F039A0" w:rsidRDefault="004B0E5D" w:rsidP="00146400">
            <w:pPr>
              <w:jc w:val="right"/>
              <w:rPr>
                <w:b/>
                <w:sz w:val="20"/>
                <w:szCs w:val="20"/>
              </w:rPr>
            </w:pPr>
            <w:r>
              <w:rPr>
                <w:b/>
                <w:sz w:val="20"/>
                <w:szCs w:val="20"/>
              </w:rPr>
              <w:t>Chats &amp; Discussions</w:t>
            </w:r>
          </w:p>
        </w:tc>
        <w:tc>
          <w:tcPr>
            <w:tcW w:w="6768" w:type="dxa"/>
            <w:vAlign w:val="center"/>
          </w:tcPr>
          <w:p w:rsidR="00E52503" w:rsidRPr="009A0B55" w:rsidRDefault="00E52503" w:rsidP="00146400">
            <w:pPr>
              <w:rPr>
                <w:sz w:val="20"/>
                <w:szCs w:val="20"/>
              </w:rPr>
            </w:pPr>
            <w:r>
              <w:rPr>
                <w:sz w:val="20"/>
                <w:szCs w:val="20"/>
              </w:rPr>
              <w:t>C</w:t>
            </w:r>
            <w:r w:rsidRPr="009A0B55">
              <w:rPr>
                <w:sz w:val="20"/>
                <w:szCs w:val="20"/>
              </w:rPr>
              <w:t xml:space="preserve">lass </w:t>
            </w:r>
            <w:r w:rsidR="004B0E5D">
              <w:rPr>
                <w:sz w:val="20"/>
                <w:szCs w:val="20"/>
              </w:rPr>
              <w:t xml:space="preserve">chats and </w:t>
            </w:r>
            <w:r w:rsidRPr="009A0B55">
              <w:rPr>
                <w:sz w:val="20"/>
                <w:szCs w:val="20"/>
              </w:rPr>
              <w:t>discussions</w:t>
            </w:r>
            <w:r w:rsidR="004B0E5D">
              <w:rPr>
                <w:sz w:val="20"/>
                <w:szCs w:val="20"/>
              </w:rPr>
              <w:t xml:space="preserve"> </w:t>
            </w:r>
            <w:r w:rsidRPr="009A0B55">
              <w:rPr>
                <w:sz w:val="20"/>
                <w:szCs w:val="20"/>
              </w:rPr>
              <w:t>are planned and may take place in real-time</w:t>
            </w:r>
            <w:r>
              <w:rPr>
                <w:sz w:val="20"/>
                <w:szCs w:val="20"/>
              </w:rPr>
              <w:t xml:space="preserve"> chats and/or on the </w:t>
            </w:r>
            <w:r w:rsidRPr="009A0B55">
              <w:rPr>
                <w:sz w:val="20"/>
                <w:szCs w:val="20"/>
              </w:rPr>
              <w:t>board</w:t>
            </w:r>
            <w:r>
              <w:rPr>
                <w:sz w:val="20"/>
                <w:szCs w:val="20"/>
              </w:rPr>
              <w:t>s</w:t>
            </w:r>
            <w:r w:rsidRPr="009A0B55">
              <w:rPr>
                <w:sz w:val="20"/>
                <w:szCs w:val="20"/>
              </w:rPr>
              <w:t>.  Topics will be relat</w:t>
            </w:r>
            <w:r>
              <w:rPr>
                <w:sz w:val="20"/>
                <w:szCs w:val="20"/>
              </w:rPr>
              <w:t xml:space="preserve">ive to the module. </w:t>
            </w:r>
            <w:r w:rsidRPr="009A0B55">
              <w:rPr>
                <w:sz w:val="20"/>
                <w:szCs w:val="20"/>
              </w:rPr>
              <w:t>The instructor will provide specific directions. Students are expected to actively participate in and</w:t>
            </w:r>
            <w:r w:rsidR="004B0E5D">
              <w:rPr>
                <w:sz w:val="20"/>
                <w:szCs w:val="20"/>
              </w:rPr>
              <w:t xml:space="preserve"> contribute to the chats and/or </w:t>
            </w:r>
            <w:r w:rsidRPr="009A0B55">
              <w:rPr>
                <w:sz w:val="20"/>
                <w:szCs w:val="20"/>
              </w:rPr>
              <w:t xml:space="preserve">discussions.  Points are earned for meaningful contribution, </w:t>
            </w:r>
            <w:r>
              <w:rPr>
                <w:sz w:val="20"/>
                <w:szCs w:val="20"/>
              </w:rPr>
              <w:t>not for mediocre one-liners!</w:t>
            </w:r>
          </w:p>
        </w:tc>
      </w:tr>
      <w:tr w:rsidR="00E52503" w:rsidTr="00146400">
        <w:tc>
          <w:tcPr>
            <w:tcW w:w="2088" w:type="dxa"/>
            <w:vAlign w:val="center"/>
          </w:tcPr>
          <w:p w:rsidR="00E52503" w:rsidRDefault="00E52503" w:rsidP="00146400">
            <w:pPr>
              <w:jc w:val="right"/>
              <w:rPr>
                <w:b/>
                <w:sz w:val="20"/>
                <w:szCs w:val="20"/>
              </w:rPr>
            </w:pPr>
            <w:r w:rsidRPr="00F039A0">
              <w:rPr>
                <w:b/>
                <w:sz w:val="20"/>
                <w:szCs w:val="20"/>
              </w:rPr>
              <w:t>Make-Up</w:t>
            </w:r>
            <w:r>
              <w:rPr>
                <w:b/>
                <w:sz w:val="20"/>
                <w:szCs w:val="20"/>
              </w:rPr>
              <w:t xml:space="preserve"> </w:t>
            </w:r>
            <w:r w:rsidRPr="00F039A0">
              <w:rPr>
                <w:b/>
                <w:sz w:val="20"/>
                <w:szCs w:val="20"/>
              </w:rPr>
              <w:t xml:space="preserve">&amp; </w:t>
            </w:r>
          </w:p>
          <w:p w:rsidR="00E52503" w:rsidRPr="00F039A0" w:rsidRDefault="00E52503" w:rsidP="00146400">
            <w:pPr>
              <w:jc w:val="right"/>
              <w:rPr>
                <w:b/>
                <w:sz w:val="20"/>
                <w:szCs w:val="20"/>
              </w:rPr>
            </w:pPr>
            <w:r w:rsidRPr="00F039A0">
              <w:rPr>
                <w:b/>
                <w:sz w:val="20"/>
                <w:szCs w:val="20"/>
              </w:rPr>
              <w:t>Late Work</w:t>
            </w:r>
          </w:p>
        </w:tc>
        <w:tc>
          <w:tcPr>
            <w:tcW w:w="6768" w:type="dxa"/>
            <w:vAlign w:val="center"/>
          </w:tcPr>
          <w:p w:rsidR="00E52503" w:rsidRPr="00FF26F4" w:rsidRDefault="007773DA" w:rsidP="00146400">
            <w:pPr>
              <w:rPr>
                <w:sz w:val="20"/>
                <w:szCs w:val="20"/>
              </w:rPr>
            </w:pPr>
            <w:r>
              <w:rPr>
                <w:sz w:val="20"/>
                <w:szCs w:val="20"/>
              </w:rPr>
              <w:t>P</w:t>
            </w:r>
            <w:r w:rsidR="00E52503" w:rsidRPr="00FF26F4">
              <w:rPr>
                <w:sz w:val="20"/>
                <w:szCs w:val="20"/>
              </w:rPr>
              <w:t xml:space="preserve">ersonal circumstances arise that can interfere with a student’s ability to meet course assignment deadlines.  If things occur, communicate with Coach Mo as soon as you are aware of the conflict.  </w:t>
            </w:r>
            <w:r w:rsidR="00E52503">
              <w:rPr>
                <w:sz w:val="20"/>
                <w:szCs w:val="20"/>
              </w:rPr>
              <w:t>E</w:t>
            </w:r>
            <w:r w:rsidR="00E52503" w:rsidRPr="00FF26F4">
              <w:rPr>
                <w:sz w:val="20"/>
                <w:szCs w:val="20"/>
              </w:rPr>
              <w:t xml:space="preserve">mails will be responded to </w:t>
            </w:r>
            <w:r w:rsidR="00E52503" w:rsidRPr="009A0B55">
              <w:rPr>
                <w:b/>
                <w:sz w:val="20"/>
                <w:szCs w:val="20"/>
              </w:rPr>
              <w:t>within 24 business hours</w:t>
            </w:r>
            <w:r w:rsidR="00E52503" w:rsidRPr="00FF26F4">
              <w:rPr>
                <w:sz w:val="20"/>
                <w:szCs w:val="20"/>
              </w:rPr>
              <w:t xml:space="preserve"> (usually sooner). Anytime you h</w:t>
            </w:r>
            <w:r w:rsidR="00E52503">
              <w:rPr>
                <w:sz w:val="20"/>
                <w:szCs w:val="20"/>
              </w:rPr>
              <w:t>ave a question or problem, please contact Coach Mo</w:t>
            </w:r>
            <w:r w:rsidR="00E52503" w:rsidRPr="00FF26F4">
              <w:rPr>
                <w:sz w:val="20"/>
                <w:szCs w:val="20"/>
              </w:rPr>
              <w:t xml:space="preserve"> immediately!</w:t>
            </w:r>
          </w:p>
        </w:tc>
      </w:tr>
      <w:tr w:rsidR="00E52503" w:rsidTr="00146400">
        <w:tc>
          <w:tcPr>
            <w:tcW w:w="2088" w:type="dxa"/>
            <w:vAlign w:val="center"/>
          </w:tcPr>
          <w:p w:rsidR="00E52503" w:rsidRDefault="00E52503" w:rsidP="00146400">
            <w:pPr>
              <w:jc w:val="right"/>
              <w:rPr>
                <w:b/>
                <w:sz w:val="20"/>
                <w:szCs w:val="20"/>
              </w:rPr>
            </w:pPr>
            <w:r w:rsidRPr="00F039A0">
              <w:rPr>
                <w:b/>
                <w:sz w:val="20"/>
                <w:szCs w:val="20"/>
              </w:rPr>
              <w:t xml:space="preserve">Class Preparation </w:t>
            </w:r>
          </w:p>
          <w:p w:rsidR="00E52503" w:rsidRPr="00F039A0" w:rsidRDefault="00E52503" w:rsidP="00146400">
            <w:pPr>
              <w:jc w:val="right"/>
              <w:rPr>
                <w:b/>
                <w:sz w:val="20"/>
                <w:szCs w:val="20"/>
              </w:rPr>
            </w:pPr>
            <w:r w:rsidRPr="00F039A0">
              <w:rPr>
                <w:b/>
                <w:sz w:val="20"/>
                <w:szCs w:val="20"/>
              </w:rPr>
              <w:t>&amp; Participation</w:t>
            </w:r>
          </w:p>
        </w:tc>
        <w:tc>
          <w:tcPr>
            <w:tcW w:w="6768" w:type="dxa"/>
            <w:vAlign w:val="center"/>
          </w:tcPr>
          <w:p w:rsidR="00E52503" w:rsidRDefault="00E52503" w:rsidP="00146400">
            <w:r>
              <w:rPr>
                <w:sz w:val="20"/>
                <w:szCs w:val="20"/>
              </w:rPr>
              <w:t xml:space="preserve">We accept no wallflowers! </w:t>
            </w:r>
            <w:r w:rsidRPr="00FB0D52">
              <w:rPr>
                <w:sz w:val="20"/>
                <w:szCs w:val="20"/>
              </w:rPr>
              <w:t xml:space="preserve">All students are expected to </w:t>
            </w:r>
            <w:r>
              <w:rPr>
                <w:sz w:val="20"/>
                <w:szCs w:val="20"/>
              </w:rPr>
              <w:t xml:space="preserve">participate actively in all </w:t>
            </w:r>
            <w:r w:rsidRPr="00FB0D52">
              <w:rPr>
                <w:sz w:val="20"/>
                <w:szCs w:val="20"/>
              </w:rPr>
              <w:t>class activities including chats</w:t>
            </w:r>
            <w:r>
              <w:rPr>
                <w:sz w:val="20"/>
                <w:szCs w:val="20"/>
              </w:rPr>
              <w:t xml:space="preserve">, </w:t>
            </w:r>
            <w:r w:rsidRPr="00FB0D52">
              <w:rPr>
                <w:sz w:val="20"/>
                <w:szCs w:val="20"/>
              </w:rPr>
              <w:t>discussion board interactions</w:t>
            </w:r>
            <w:r>
              <w:rPr>
                <w:sz w:val="20"/>
                <w:szCs w:val="20"/>
              </w:rPr>
              <w:t>, and all activities as listed on the schedule of assignments.  Weekly participation is required and submission of class work is evidence of your participation.  Merely logging on to the course websites is not evidence of participation in this course.</w:t>
            </w:r>
          </w:p>
        </w:tc>
      </w:tr>
    </w:tbl>
    <w:p w:rsidR="00E52503" w:rsidRDefault="00E52503" w:rsidP="00E52503">
      <w:pPr>
        <w:rPr>
          <w:sz w:val="20"/>
          <w:szCs w:val="20"/>
        </w:rPr>
      </w:pPr>
    </w:p>
    <w:p w:rsidR="00E52503" w:rsidRDefault="00E52503" w:rsidP="00E52503">
      <w:pPr>
        <w:rPr>
          <w:sz w:val="20"/>
          <w:szCs w:val="20"/>
        </w:rPr>
      </w:pPr>
    </w:p>
    <w:p w:rsidR="00E52503" w:rsidRDefault="00E52503" w:rsidP="00E52503">
      <w:pPr>
        <w:rPr>
          <w:b/>
          <w:sz w:val="24"/>
          <w:szCs w:val="24"/>
        </w:rPr>
      </w:pPr>
      <w:r w:rsidRPr="005E4A7D">
        <w:rPr>
          <w:b/>
          <w:sz w:val="24"/>
          <w:szCs w:val="24"/>
        </w:rPr>
        <w:t>Course Policies</w:t>
      </w:r>
    </w:p>
    <w:p w:rsidR="00E52503" w:rsidRPr="005E4A7D" w:rsidRDefault="00E52503" w:rsidP="00E52503">
      <w:pPr>
        <w:rPr>
          <w:b/>
          <w:sz w:val="24"/>
          <w:szCs w:val="2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368"/>
        <w:gridCol w:w="7488"/>
      </w:tblGrid>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Make-Up Exams</w:t>
            </w:r>
          </w:p>
        </w:tc>
        <w:tc>
          <w:tcPr>
            <w:tcW w:w="7488" w:type="dxa"/>
            <w:vAlign w:val="center"/>
          </w:tcPr>
          <w:p w:rsidR="00E52503" w:rsidRPr="00B324AC" w:rsidRDefault="00E52503" w:rsidP="00146400">
            <w:pPr>
              <w:rPr>
                <w:sz w:val="20"/>
                <w:szCs w:val="20"/>
              </w:rPr>
            </w:pPr>
            <w:r>
              <w:rPr>
                <w:sz w:val="20"/>
                <w:szCs w:val="20"/>
              </w:rPr>
              <w:t xml:space="preserve">Make-up and/or re-take exams will NOT be the same as the original test.  The grade on the new test will be the recorded grade, even if it is </w:t>
            </w:r>
            <w:r>
              <w:rPr>
                <w:i/>
                <w:sz w:val="20"/>
                <w:szCs w:val="20"/>
                <w:u w:val="single"/>
              </w:rPr>
              <w:t>worse</w:t>
            </w:r>
            <w:r>
              <w:rPr>
                <w:sz w:val="20"/>
                <w:szCs w:val="20"/>
              </w:rPr>
              <w:t xml:space="preserve"> than the original score.  Therefore, it is to the student’s advantage to prepare sufficiently </w:t>
            </w:r>
            <w:r w:rsidR="004B0E5D">
              <w:rPr>
                <w:sz w:val="20"/>
                <w:szCs w:val="20"/>
              </w:rPr>
              <w:t>to</w:t>
            </w:r>
            <w:r>
              <w:rPr>
                <w:sz w:val="20"/>
                <w:szCs w:val="20"/>
              </w:rPr>
              <w:t xml:space="preserve"> do their best work on the original test.</w:t>
            </w:r>
          </w:p>
        </w:tc>
      </w:tr>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Extra Credit</w:t>
            </w:r>
          </w:p>
        </w:tc>
        <w:tc>
          <w:tcPr>
            <w:tcW w:w="7488" w:type="dxa"/>
            <w:vAlign w:val="center"/>
          </w:tcPr>
          <w:p w:rsidR="00E52503" w:rsidRPr="0091518F" w:rsidRDefault="00E52503" w:rsidP="00146400">
            <w:pPr>
              <w:rPr>
                <w:sz w:val="20"/>
                <w:szCs w:val="20"/>
              </w:rPr>
            </w:pPr>
            <w:r>
              <w:rPr>
                <w:sz w:val="20"/>
                <w:szCs w:val="20"/>
              </w:rPr>
              <w:t>There are no opportunities for extra credit work in this course.</w:t>
            </w:r>
          </w:p>
        </w:tc>
      </w:tr>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Late Work</w:t>
            </w:r>
          </w:p>
        </w:tc>
        <w:tc>
          <w:tcPr>
            <w:tcW w:w="7488" w:type="dxa"/>
            <w:vAlign w:val="center"/>
          </w:tcPr>
          <w:p w:rsidR="00E52503" w:rsidRPr="00166C9B" w:rsidRDefault="00E52503" w:rsidP="00146400">
            <w:pPr>
              <w:rPr>
                <w:sz w:val="20"/>
                <w:szCs w:val="20"/>
              </w:rPr>
            </w:pPr>
            <w:r>
              <w:rPr>
                <w:sz w:val="20"/>
                <w:szCs w:val="20"/>
              </w:rPr>
              <w:t>It is important that students stay on track and current with readings and assignments throughout this course.  However, things happen!  Exceptions may be made for extraordinary circumstances on an individual basis, approved in advance of the due date by the instructor. Assignments will be accepted up to one week late with a 50% penalty. Unexcused work submitted after one week will not be accepted.</w:t>
            </w:r>
            <w:r w:rsidR="004B0E5D">
              <w:rPr>
                <w:sz w:val="20"/>
                <w:szCs w:val="20"/>
              </w:rPr>
              <w:t xml:space="preserve"> Make-up assignments due to excused absences are accepted as per JCCS policy.</w:t>
            </w:r>
          </w:p>
        </w:tc>
      </w:tr>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Special Assignments</w:t>
            </w:r>
          </w:p>
        </w:tc>
        <w:tc>
          <w:tcPr>
            <w:tcW w:w="7488" w:type="dxa"/>
            <w:vAlign w:val="center"/>
          </w:tcPr>
          <w:p w:rsidR="00E52503" w:rsidRPr="00F039A0" w:rsidRDefault="00E52503" w:rsidP="00146400">
            <w:pPr>
              <w:rPr>
                <w:b/>
                <w:sz w:val="20"/>
                <w:szCs w:val="20"/>
              </w:rPr>
            </w:pPr>
            <w:r>
              <w:rPr>
                <w:b/>
                <w:sz w:val="20"/>
                <w:szCs w:val="20"/>
              </w:rPr>
              <w:t>Assignments are accepted in the assigned drop-box without penalty when submitted by 10:00PM (EST) on date due, unless otherwise noted on the assignment.</w:t>
            </w:r>
          </w:p>
        </w:tc>
      </w:tr>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Class Attendance</w:t>
            </w:r>
          </w:p>
        </w:tc>
        <w:tc>
          <w:tcPr>
            <w:tcW w:w="7488" w:type="dxa"/>
            <w:vAlign w:val="center"/>
          </w:tcPr>
          <w:p w:rsidR="00E52503" w:rsidRDefault="00E52503" w:rsidP="00146400">
            <w:pPr>
              <w:rPr>
                <w:sz w:val="20"/>
                <w:szCs w:val="20"/>
              </w:rPr>
            </w:pPr>
            <w:r>
              <w:rPr>
                <w:sz w:val="20"/>
                <w:szCs w:val="20"/>
              </w:rPr>
              <w:t xml:space="preserve">Class attendance is very important, especially in the JCMS learning environment.  </w:t>
            </w:r>
          </w:p>
          <w:p w:rsidR="00E52503" w:rsidRPr="00FB0D52" w:rsidRDefault="00E52503" w:rsidP="00146400">
            <w:pPr>
              <w:rPr>
                <w:sz w:val="20"/>
                <w:szCs w:val="20"/>
              </w:rPr>
            </w:pPr>
            <w:r>
              <w:rPr>
                <w:sz w:val="20"/>
                <w:szCs w:val="20"/>
              </w:rPr>
              <w:t xml:space="preserve">The instructor will contact parents, Administrators and School Counselor at the 5th and 10th day of absence if the student has not submitted assignments, regardless if present or absent from the classroom. </w:t>
            </w:r>
          </w:p>
        </w:tc>
      </w:tr>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Student Conduct/ Netiquette</w:t>
            </w:r>
          </w:p>
        </w:tc>
        <w:tc>
          <w:tcPr>
            <w:tcW w:w="7488" w:type="dxa"/>
            <w:vAlign w:val="center"/>
          </w:tcPr>
          <w:p w:rsidR="00E52503" w:rsidRDefault="00E52503" w:rsidP="00146400">
            <w:pPr>
              <w:rPr>
                <w:sz w:val="20"/>
                <w:szCs w:val="20"/>
              </w:rPr>
            </w:pPr>
            <w:r>
              <w:rPr>
                <w:sz w:val="20"/>
                <w:szCs w:val="20"/>
              </w:rPr>
              <w:t>All participants in this course are bound by the JCMS Code of Conduct, found in the JCMS Student Handbook.</w:t>
            </w:r>
          </w:p>
          <w:p w:rsidR="00E52503" w:rsidRDefault="00E52503" w:rsidP="00146400">
            <w:pPr>
              <w:rPr>
                <w:sz w:val="20"/>
                <w:szCs w:val="20"/>
              </w:rPr>
            </w:pPr>
          </w:p>
          <w:p w:rsidR="00E52503" w:rsidRPr="0064775C" w:rsidRDefault="00E52503" w:rsidP="00146400">
            <w:pPr>
              <w:rPr>
                <w:sz w:val="20"/>
                <w:szCs w:val="20"/>
              </w:rPr>
            </w:pPr>
            <w:r>
              <w:rPr>
                <w:sz w:val="20"/>
                <w:szCs w:val="20"/>
              </w:rPr>
              <w:t>As a student in this course, your primary means of communication is written.  Written language has several advantages: carefully reasoned thought, deeper reflections, and opportunities to re-think or revise our thoughts before posting comments.  Yet written communication can offer disadvantages: lacking face-to-face expressions, intonation, gestures, and body language. Please be aware of the possibility of miscommunication and compose your written contributions in a positive, supportive, and constructive manner.</w:t>
            </w:r>
          </w:p>
        </w:tc>
      </w:tr>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Special Procedures</w:t>
            </w:r>
          </w:p>
        </w:tc>
        <w:tc>
          <w:tcPr>
            <w:tcW w:w="7488" w:type="dxa"/>
            <w:vAlign w:val="center"/>
          </w:tcPr>
          <w:p w:rsidR="00E52503" w:rsidRPr="00F039A0" w:rsidRDefault="00E52503" w:rsidP="00146400">
            <w:pPr>
              <w:rPr>
                <w:rFonts w:cs="Times New Roman"/>
                <w:sz w:val="20"/>
                <w:szCs w:val="20"/>
              </w:rPr>
            </w:pPr>
          </w:p>
          <w:p w:rsidR="00E52503" w:rsidRPr="00977C79" w:rsidRDefault="00E52503" w:rsidP="00146400">
            <w:pPr>
              <w:rPr>
                <w:rFonts w:cs="Times New Roman"/>
                <w:b/>
                <w:sz w:val="20"/>
                <w:szCs w:val="20"/>
              </w:rPr>
            </w:pPr>
            <w:r>
              <w:rPr>
                <w:rFonts w:cs="Times New Roman"/>
                <w:b/>
                <w:sz w:val="20"/>
                <w:szCs w:val="20"/>
              </w:rPr>
              <w:t>Please read the following sections very carefully and refer to often.</w:t>
            </w:r>
          </w:p>
        </w:tc>
      </w:tr>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Plagiarism &amp; Academic Integrity</w:t>
            </w:r>
          </w:p>
        </w:tc>
        <w:tc>
          <w:tcPr>
            <w:tcW w:w="7488" w:type="dxa"/>
            <w:vAlign w:val="center"/>
          </w:tcPr>
          <w:p w:rsidR="00E52503" w:rsidRDefault="00E52503" w:rsidP="00146400">
            <w:pPr>
              <w:spacing w:before="100" w:beforeAutospacing="1" w:after="100" w:afterAutospacing="1"/>
              <w:rPr>
                <w:rFonts w:cs="Times New Roman"/>
                <w:sz w:val="20"/>
                <w:szCs w:val="20"/>
              </w:rPr>
            </w:pPr>
            <w:r>
              <w:rPr>
                <w:rFonts w:cs="Times New Roman"/>
                <w:sz w:val="20"/>
                <w:szCs w:val="20"/>
              </w:rPr>
              <w:t xml:space="preserve">All students of the JCMS learning community are expected to be honest in all their endeavors and to maintain the highest level of academic integrity regardless of the physical or virtual structure of their learning environment. Students understand and agree to maintain academic honesty </w:t>
            </w:r>
            <w:r w:rsidR="004B0E5D">
              <w:rPr>
                <w:rFonts w:cs="Times New Roman"/>
                <w:sz w:val="20"/>
                <w:szCs w:val="20"/>
              </w:rPr>
              <w:t>always</w:t>
            </w:r>
            <w:r>
              <w:rPr>
                <w:rFonts w:cs="Times New Roman"/>
                <w:sz w:val="20"/>
                <w:szCs w:val="20"/>
              </w:rPr>
              <w:t xml:space="preserve">. </w:t>
            </w:r>
          </w:p>
          <w:p w:rsidR="00E52503" w:rsidRDefault="00E52503" w:rsidP="00146400">
            <w:pPr>
              <w:spacing w:before="100" w:beforeAutospacing="1" w:after="100" w:afterAutospacing="1"/>
              <w:rPr>
                <w:rFonts w:cs="Times New Roman"/>
                <w:sz w:val="20"/>
                <w:szCs w:val="20"/>
              </w:rPr>
            </w:pPr>
            <w:r>
              <w:rPr>
                <w:rFonts w:cs="Times New Roman"/>
                <w:sz w:val="20"/>
                <w:szCs w:val="20"/>
              </w:rPr>
              <w:t>Plagiarism is considered a form of cheating. Plagiarism is the act of using the ideas, writings, images or multimedia of others as your own without giving credit to those other sources. Plagiarism carries severe consequences, especially in higher levels of education.  Plagiarism consequences are defined in the JCMS Student Code of Conduct policy. Please reference our JCMS Student Handbook for additional explanation.</w:t>
            </w:r>
          </w:p>
          <w:p w:rsidR="00E52503" w:rsidRPr="00D95E53" w:rsidRDefault="00E52503" w:rsidP="00146400">
            <w:pPr>
              <w:spacing w:before="100" w:beforeAutospacing="1" w:after="100" w:afterAutospacing="1"/>
              <w:rPr>
                <w:rFonts w:cs="Times New Roman"/>
                <w:sz w:val="20"/>
                <w:szCs w:val="20"/>
              </w:rPr>
            </w:pPr>
            <w:r w:rsidRPr="00C67657">
              <w:rPr>
                <w:rFonts w:cs="Times New Roman"/>
                <w:b/>
                <w:sz w:val="20"/>
                <w:szCs w:val="20"/>
                <w:u w:val="single"/>
              </w:rPr>
              <w:t>JC</w:t>
            </w:r>
            <w:r>
              <w:rPr>
                <w:rFonts w:cs="Times New Roman"/>
                <w:b/>
                <w:sz w:val="20"/>
                <w:szCs w:val="20"/>
                <w:u w:val="single"/>
              </w:rPr>
              <w:t>M</w:t>
            </w:r>
            <w:r w:rsidRPr="00C67657">
              <w:rPr>
                <w:rFonts w:cs="Times New Roman"/>
                <w:b/>
                <w:sz w:val="20"/>
                <w:szCs w:val="20"/>
                <w:u w:val="single"/>
              </w:rPr>
              <w:t xml:space="preserve">S has a zero-tolerance policy on plagiarism and any course work that reflects an act of plagiarism will result in a zero for the work. </w:t>
            </w:r>
            <w:r>
              <w:rPr>
                <w:rFonts w:cs="Times New Roman"/>
                <w:b/>
                <w:sz w:val="20"/>
                <w:szCs w:val="20"/>
                <w:u w:val="single"/>
              </w:rPr>
              <w:t>T</w:t>
            </w:r>
            <w:r w:rsidRPr="00C67657">
              <w:rPr>
                <w:rFonts w:cs="Times New Roman"/>
                <w:b/>
                <w:sz w:val="20"/>
                <w:szCs w:val="20"/>
                <w:u w:val="single"/>
              </w:rPr>
              <w:t>he JC</w:t>
            </w:r>
            <w:r>
              <w:rPr>
                <w:rFonts w:cs="Times New Roman"/>
                <w:b/>
                <w:sz w:val="20"/>
                <w:szCs w:val="20"/>
                <w:u w:val="single"/>
              </w:rPr>
              <w:t>M</w:t>
            </w:r>
            <w:r w:rsidRPr="00C67657">
              <w:rPr>
                <w:rFonts w:cs="Times New Roman"/>
                <w:b/>
                <w:sz w:val="20"/>
                <w:szCs w:val="20"/>
                <w:u w:val="single"/>
              </w:rPr>
              <w:t>S plagiarism policy will be enforced on the first offense.</w:t>
            </w:r>
          </w:p>
        </w:tc>
      </w:tr>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 xml:space="preserve">Copyright Notice </w:t>
            </w:r>
          </w:p>
        </w:tc>
        <w:tc>
          <w:tcPr>
            <w:tcW w:w="7488" w:type="dxa"/>
            <w:vAlign w:val="center"/>
          </w:tcPr>
          <w:p w:rsidR="00E52503" w:rsidRPr="009933F4" w:rsidRDefault="00E52503" w:rsidP="00146400">
            <w:pPr>
              <w:rPr>
                <w:rFonts w:cs="Times New Roman"/>
                <w:color w:val="000000"/>
                <w:sz w:val="20"/>
                <w:szCs w:val="20"/>
              </w:rPr>
            </w:pPr>
            <w:r w:rsidRPr="009933F4">
              <w:rPr>
                <w:rFonts w:cs="Times New Roman"/>
                <w:color w:val="000000"/>
                <w:sz w:val="20"/>
                <w:szCs w:val="20"/>
              </w:rPr>
              <w:t>The materials foun</w:t>
            </w:r>
            <w:r>
              <w:rPr>
                <w:rFonts w:cs="Times New Roman"/>
                <w:color w:val="000000"/>
                <w:sz w:val="20"/>
                <w:szCs w:val="20"/>
              </w:rPr>
              <w:t>d throughout this course</w:t>
            </w:r>
            <w:r w:rsidRPr="009933F4">
              <w:rPr>
                <w:rFonts w:cs="Times New Roman"/>
                <w:color w:val="000000"/>
                <w:sz w:val="20"/>
                <w:szCs w:val="20"/>
              </w:rPr>
              <w:t xml:space="preserve"> may be copied and/or used only for the use of students enrolled in this course, for non-commercial and classroom purposes only.  These materials may not be retained or disseminated beyond the end of this course.</w:t>
            </w:r>
          </w:p>
        </w:tc>
      </w:tr>
      <w:tr w:rsidR="00E52503" w:rsidRPr="00F039A0" w:rsidTr="00146400">
        <w:tc>
          <w:tcPr>
            <w:tcW w:w="1368" w:type="dxa"/>
            <w:vAlign w:val="center"/>
          </w:tcPr>
          <w:p w:rsidR="00E52503" w:rsidRPr="00F039A0" w:rsidRDefault="00E52503" w:rsidP="00146400">
            <w:pPr>
              <w:jc w:val="right"/>
              <w:rPr>
                <w:b/>
                <w:sz w:val="20"/>
                <w:szCs w:val="20"/>
              </w:rPr>
            </w:pPr>
            <w:r w:rsidRPr="00F039A0">
              <w:rPr>
                <w:b/>
                <w:sz w:val="20"/>
                <w:szCs w:val="20"/>
              </w:rPr>
              <w:t>Incomplete Grades</w:t>
            </w:r>
          </w:p>
        </w:tc>
        <w:tc>
          <w:tcPr>
            <w:tcW w:w="7488" w:type="dxa"/>
            <w:vAlign w:val="center"/>
          </w:tcPr>
          <w:p w:rsidR="00E52503" w:rsidRPr="00A424DF" w:rsidRDefault="00E52503" w:rsidP="00146400">
            <w:pPr>
              <w:rPr>
                <w:rFonts w:cs="Times New Roman"/>
                <w:color w:val="000000"/>
                <w:sz w:val="20"/>
                <w:szCs w:val="20"/>
              </w:rPr>
            </w:pPr>
            <w:r>
              <w:rPr>
                <w:rFonts w:cs="Times New Roman"/>
                <w:color w:val="000000"/>
                <w:sz w:val="20"/>
                <w:szCs w:val="20"/>
              </w:rPr>
              <w:t>Incomplete, unexcused, or missing assignments will result in a grade of “0” meaning no points will be earned for that task.</w:t>
            </w:r>
          </w:p>
        </w:tc>
      </w:tr>
    </w:tbl>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E52503" w:rsidRDefault="00E52503" w:rsidP="00E52503">
      <w:pPr>
        <w:rPr>
          <w:b/>
          <w:sz w:val="20"/>
          <w:szCs w:val="20"/>
        </w:rPr>
      </w:pPr>
    </w:p>
    <w:p w:rsidR="00DA2C93" w:rsidRDefault="00DA2C93"/>
    <w:sectPr w:rsidR="00DA2C9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E23" w:rsidRDefault="000F7E23" w:rsidP="00E52503">
      <w:r>
        <w:separator/>
      </w:r>
    </w:p>
  </w:endnote>
  <w:endnote w:type="continuationSeparator" w:id="0">
    <w:p w:rsidR="000F7E23" w:rsidRDefault="000F7E23" w:rsidP="00E5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780612"/>
      <w:docPartObj>
        <w:docPartGallery w:val="Page Numbers (Bottom of Page)"/>
        <w:docPartUnique/>
      </w:docPartObj>
    </w:sdtPr>
    <w:sdtEndPr/>
    <w:sdtContent>
      <w:sdt>
        <w:sdtPr>
          <w:id w:val="-1769616900"/>
          <w:docPartObj>
            <w:docPartGallery w:val="Page Numbers (Top of Page)"/>
            <w:docPartUnique/>
          </w:docPartObj>
        </w:sdtPr>
        <w:sdtEndPr/>
        <w:sdtContent>
          <w:p w:rsidR="00E52503" w:rsidRDefault="00E525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7E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7E23">
              <w:rPr>
                <w:b/>
                <w:bCs/>
                <w:noProof/>
              </w:rPr>
              <w:t>1</w:t>
            </w:r>
            <w:r>
              <w:rPr>
                <w:b/>
                <w:bCs/>
                <w:sz w:val="24"/>
                <w:szCs w:val="24"/>
              </w:rPr>
              <w:fldChar w:fldCharType="end"/>
            </w:r>
          </w:p>
        </w:sdtContent>
      </w:sdt>
    </w:sdtContent>
  </w:sdt>
  <w:p w:rsidR="00E52503" w:rsidRDefault="00E52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E23" w:rsidRDefault="000F7E23" w:rsidP="00E52503">
      <w:r>
        <w:separator/>
      </w:r>
    </w:p>
  </w:footnote>
  <w:footnote w:type="continuationSeparator" w:id="0">
    <w:p w:rsidR="000F7E23" w:rsidRDefault="000F7E23" w:rsidP="00E52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85DEF"/>
    <w:multiLevelType w:val="hybridMultilevel"/>
    <w:tmpl w:val="C6B6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03"/>
    <w:rsid w:val="000F7E23"/>
    <w:rsid w:val="002328D3"/>
    <w:rsid w:val="002C41AB"/>
    <w:rsid w:val="003C6679"/>
    <w:rsid w:val="004366F0"/>
    <w:rsid w:val="004B0E5D"/>
    <w:rsid w:val="006A2FDF"/>
    <w:rsid w:val="007773DA"/>
    <w:rsid w:val="007A1B25"/>
    <w:rsid w:val="00CB36C5"/>
    <w:rsid w:val="00D84611"/>
    <w:rsid w:val="00DA2C93"/>
    <w:rsid w:val="00E418F6"/>
    <w:rsid w:val="00E52503"/>
    <w:rsid w:val="00E85CF6"/>
    <w:rsid w:val="00E86B32"/>
    <w:rsid w:val="00F3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4752A-36EA-4EF2-8F74-E0315FD7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2503"/>
    <w:pPr>
      <w:spacing w:after="0" w:line="240" w:lineRule="auto"/>
    </w:pPr>
    <w:rPr>
      <w:rFonts w:ascii="Times New Roman" w:eastAsia="Times New Roman" w:hAnsi="Times New Roman"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25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52503"/>
    <w:rPr>
      <w:color w:val="0000FF"/>
      <w:u w:val="single"/>
    </w:rPr>
  </w:style>
  <w:style w:type="paragraph" w:styleId="ListParagraph">
    <w:name w:val="List Paragraph"/>
    <w:basedOn w:val="Normal"/>
    <w:uiPriority w:val="34"/>
    <w:qFormat/>
    <w:rsid w:val="00E52503"/>
    <w:pPr>
      <w:ind w:left="720"/>
      <w:contextualSpacing/>
    </w:pPr>
  </w:style>
  <w:style w:type="paragraph" w:styleId="Header">
    <w:name w:val="header"/>
    <w:basedOn w:val="Normal"/>
    <w:link w:val="HeaderChar"/>
    <w:uiPriority w:val="99"/>
    <w:unhideWhenUsed/>
    <w:rsid w:val="00E52503"/>
    <w:pPr>
      <w:tabs>
        <w:tab w:val="center" w:pos="4680"/>
        <w:tab w:val="right" w:pos="9360"/>
      </w:tabs>
    </w:pPr>
  </w:style>
  <w:style w:type="character" w:customStyle="1" w:styleId="HeaderChar">
    <w:name w:val="Header Char"/>
    <w:basedOn w:val="DefaultParagraphFont"/>
    <w:link w:val="Header"/>
    <w:uiPriority w:val="99"/>
    <w:rsid w:val="00E52503"/>
    <w:rPr>
      <w:rFonts w:ascii="Times New Roman" w:eastAsia="Times New Roman" w:hAnsi="Times New Roman" w:cs="Tahoma"/>
    </w:rPr>
  </w:style>
  <w:style w:type="paragraph" w:styleId="Footer">
    <w:name w:val="footer"/>
    <w:basedOn w:val="Normal"/>
    <w:link w:val="FooterChar"/>
    <w:uiPriority w:val="99"/>
    <w:unhideWhenUsed/>
    <w:rsid w:val="00E52503"/>
    <w:pPr>
      <w:tabs>
        <w:tab w:val="center" w:pos="4680"/>
        <w:tab w:val="right" w:pos="9360"/>
      </w:tabs>
    </w:pPr>
  </w:style>
  <w:style w:type="character" w:customStyle="1" w:styleId="FooterChar">
    <w:name w:val="Footer Char"/>
    <w:basedOn w:val="DefaultParagraphFont"/>
    <w:link w:val="Footer"/>
    <w:uiPriority w:val="99"/>
    <w:rsid w:val="00E52503"/>
    <w:rPr>
      <w:rFonts w:ascii="Times New Roman" w:eastAsia="Times New Roman" w:hAnsi="Times New Roman" w:cs="Tahoma"/>
    </w:rPr>
  </w:style>
  <w:style w:type="character" w:styleId="Mention">
    <w:name w:val="Mention"/>
    <w:basedOn w:val="DefaultParagraphFont"/>
    <w:uiPriority w:val="99"/>
    <w:semiHidden/>
    <w:unhideWhenUsed/>
    <w:rsid w:val="006A2FD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csd.schoolwires.net/Page/880" TargetMode="External"/><Relationship Id="rId3" Type="http://schemas.openxmlformats.org/officeDocument/2006/relationships/settings" Target="settings.xml"/><Relationship Id="rId7" Type="http://schemas.openxmlformats.org/officeDocument/2006/relationships/hyperlink" Target="mailto:mryan@jasper.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Ryan</dc:creator>
  <cp:keywords/>
  <dc:description/>
  <cp:lastModifiedBy>Maureen Ryan</cp:lastModifiedBy>
  <cp:revision>7</cp:revision>
  <cp:lastPrinted>2017-08-06T21:21:00Z</cp:lastPrinted>
  <dcterms:created xsi:type="dcterms:W3CDTF">2017-07-21T21:13:00Z</dcterms:created>
  <dcterms:modified xsi:type="dcterms:W3CDTF">2017-08-06T21:22:00Z</dcterms:modified>
</cp:coreProperties>
</file>